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815" w:rsidRDefault="00566815" w:rsidP="00C777B4">
      <w:pPr>
        <w:spacing w:after="0"/>
        <w:jc w:val="both"/>
        <w:rPr>
          <w:b/>
        </w:rPr>
      </w:pPr>
      <w:r w:rsidRPr="00C777B4">
        <w:rPr>
          <w:b/>
        </w:rPr>
        <w:t xml:space="preserve">Funding information and factsheet </w:t>
      </w:r>
      <w:r w:rsidR="008201BF">
        <w:rPr>
          <w:b/>
        </w:rPr>
        <w:t>–</w:t>
      </w:r>
      <w:r w:rsidRPr="00C777B4">
        <w:rPr>
          <w:b/>
        </w:rPr>
        <w:t xml:space="preserve"> </w:t>
      </w:r>
      <w:r w:rsidR="008201BF">
        <w:rPr>
          <w:b/>
        </w:rPr>
        <w:t>January 2018</w:t>
      </w:r>
    </w:p>
    <w:p w:rsidR="00C777B4" w:rsidRPr="00C777B4" w:rsidRDefault="00C777B4" w:rsidP="00C777B4">
      <w:pPr>
        <w:spacing w:after="0"/>
        <w:jc w:val="both"/>
        <w:rPr>
          <w:b/>
        </w:rPr>
      </w:pPr>
    </w:p>
    <w:p w:rsidR="00566815" w:rsidRPr="00C777B4" w:rsidRDefault="00566815" w:rsidP="00C777B4">
      <w:pPr>
        <w:spacing w:after="0"/>
        <w:jc w:val="both"/>
        <w:rPr>
          <w:b/>
        </w:rPr>
      </w:pPr>
      <w:r w:rsidRPr="00C777B4">
        <w:rPr>
          <w:b/>
        </w:rPr>
        <w:t>Context:</w:t>
      </w:r>
    </w:p>
    <w:p w:rsidR="00566815" w:rsidRPr="00C777B4" w:rsidRDefault="00566815" w:rsidP="00C777B4">
      <w:pPr>
        <w:spacing w:after="0"/>
        <w:jc w:val="both"/>
      </w:pPr>
      <w:r w:rsidRPr="00C777B4">
        <w:t xml:space="preserve">Schools and academies in West Sussex have been severely financially disadvantaged for at least a decade. Over the past three years additional rising costs have seen matters reach a critical point.  On average, large secondary schools have been making savings of approximately £250k year on year.   Primary and special school budgets have been under equal pressure.  </w:t>
      </w:r>
    </w:p>
    <w:p w:rsidR="00566815" w:rsidRPr="00C777B4" w:rsidRDefault="00566815" w:rsidP="00C777B4">
      <w:pPr>
        <w:spacing w:after="0"/>
        <w:jc w:val="both"/>
      </w:pPr>
    </w:p>
    <w:p w:rsidR="00566815" w:rsidRDefault="00566815" w:rsidP="00C777B4">
      <w:pPr>
        <w:spacing w:after="0"/>
        <w:jc w:val="both"/>
        <w:rPr>
          <w:b/>
        </w:rPr>
      </w:pPr>
      <w:r w:rsidRPr="00C777B4">
        <w:rPr>
          <w:b/>
        </w:rPr>
        <w:t>What does the National Funding Formula do for low funded schools and counties?</w:t>
      </w:r>
    </w:p>
    <w:p w:rsidR="000B1BCA" w:rsidRDefault="000B1BCA" w:rsidP="00C777B4">
      <w:pPr>
        <w:spacing w:after="0"/>
        <w:jc w:val="both"/>
        <w:rPr>
          <w:b/>
        </w:rPr>
      </w:pPr>
    </w:p>
    <w:p w:rsidR="000B1BCA" w:rsidRPr="00C777B4" w:rsidRDefault="000B1BCA" w:rsidP="000B1BCA">
      <w:pPr>
        <w:spacing w:after="0"/>
        <w:jc w:val="both"/>
      </w:pPr>
      <w:r w:rsidRPr="000B1BCA">
        <w:rPr>
          <w:i/>
        </w:rPr>
        <w:t>“In conclusion, the new national funding formulae will redress historic inequities in funding that have existed for too long”</w:t>
      </w:r>
      <w:r w:rsidRPr="00C777B4">
        <w:t xml:space="preserve"> - Justine Greening </w:t>
      </w:r>
      <w:r>
        <w:t xml:space="preserve">MP – Secretary of State for Education </w:t>
      </w:r>
      <w:r w:rsidRPr="00C777B4">
        <w:t>– New National Funding Formula announcement, September 2017.</w:t>
      </w:r>
    </w:p>
    <w:p w:rsidR="000B1BCA" w:rsidRPr="00C777B4" w:rsidRDefault="000B1BCA" w:rsidP="000B1BCA">
      <w:pPr>
        <w:spacing w:after="0"/>
        <w:jc w:val="both"/>
      </w:pPr>
    </w:p>
    <w:p w:rsidR="000B1BCA" w:rsidRPr="00C777B4" w:rsidRDefault="000B1BCA" w:rsidP="000B1BCA">
      <w:pPr>
        <w:spacing w:after="0"/>
        <w:jc w:val="both"/>
      </w:pPr>
      <w:r w:rsidRPr="000B1BCA">
        <w:rPr>
          <w:i/>
        </w:rPr>
        <w:t>“This means that for the first time everyone can see what the national funding formula will mean for them and understand why. Alongside addressing these historical injustices…”</w:t>
      </w:r>
      <w:r w:rsidRPr="000B1BCA">
        <w:t xml:space="preserve"> </w:t>
      </w:r>
      <w:r w:rsidRPr="00C777B4">
        <w:t>– Nick Gibb</w:t>
      </w:r>
      <w:r>
        <w:t xml:space="preserve"> MP – Minister for Schools</w:t>
      </w:r>
      <w:r w:rsidRPr="00C777B4">
        <w:t>, October 2017.</w:t>
      </w:r>
    </w:p>
    <w:p w:rsidR="000B1BCA" w:rsidRPr="00C777B4" w:rsidRDefault="000B1BCA" w:rsidP="00C777B4">
      <w:pPr>
        <w:spacing w:after="0"/>
        <w:jc w:val="both"/>
        <w:rPr>
          <w:b/>
        </w:rPr>
      </w:pPr>
    </w:p>
    <w:p w:rsidR="00566815" w:rsidRPr="00C777B4" w:rsidRDefault="00566815" w:rsidP="00C777B4">
      <w:pPr>
        <w:spacing w:after="0"/>
        <w:jc w:val="both"/>
      </w:pPr>
      <w:r w:rsidRPr="00C777B4">
        <w:t xml:space="preserve">The new National Funding Formula </w:t>
      </w:r>
      <w:r w:rsidRPr="000B1BCA">
        <w:rPr>
          <w:b/>
        </w:rPr>
        <w:t>does not</w:t>
      </w:r>
      <w:r w:rsidRPr="00C777B4">
        <w:t xml:space="preserve"> </w:t>
      </w:r>
      <w:r w:rsidR="000B1BCA">
        <w:t>solve</w:t>
      </w:r>
      <w:r w:rsidRPr="00C777B4">
        <w:t xml:space="preserve"> the two problems that it was designed to </w:t>
      </w:r>
      <w:r w:rsidR="000B1BCA">
        <w:t>tackle</w:t>
      </w:r>
      <w:r w:rsidRPr="00C777B4">
        <w:t xml:space="preserve"> – </w:t>
      </w:r>
      <w:r w:rsidRPr="00C777B4">
        <w:rPr>
          <w:b/>
        </w:rPr>
        <w:t>real terms funding decline</w:t>
      </w:r>
      <w:r w:rsidRPr="00C777B4">
        <w:t xml:space="preserve"> and </w:t>
      </w:r>
      <w:r w:rsidRPr="00C777B4">
        <w:rPr>
          <w:b/>
        </w:rPr>
        <w:t>funding inequalities</w:t>
      </w:r>
      <w:r w:rsidRPr="00C777B4">
        <w:t xml:space="preserve"> across schools and counties. </w:t>
      </w:r>
    </w:p>
    <w:p w:rsidR="00566815" w:rsidRPr="00C777B4" w:rsidRDefault="00566815" w:rsidP="00C777B4">
      <w:pPr>
        <w:spacing w:after="0"/>
        <w:jc w:val="both"/>
      </w:pPr>
    </w:p>
    <w:p w:rsidR="00566815" w:rsidRPr="003D44FE" w:rsidRDefault="00566815" w:rsidP="00C777B4">
      <w:pPr>
        <w:spacing w:after="0"/>
        <w:jc w:val="both"/>
      </w:pPr>
      <w:r w:rsidRPr="00C777B4">
        <w:t xml:space="preserve">The new National Funding Formula has injected some additional cash in to schools.  Much of this will be offset by rising costs.  </w:t>
      </w:r>
      <w:r w:rsidRPr="00C777B4">
        <w:rPr>
          <w:b/>
        </w:rPr>
        <w:t>In real terms school budgets will either have a small uplift or will remain static in 2018 and beyond.</w:t>
      </w:r>
      <w:r w:rsidRPr="00C777B4">
        <w:t xml:space="preserve">   Worked examples for individual </w:t>
      </w:r>
      <w:r w:rsidRPr="003D44FE">
        <w:t xml:space="preserve">schools </w:t>
      </w:r>
      <w:r w:rsidR="003D44FE" w:rsidRPr="0035198E">
        <w:t>are</w:t>
      </w:r>
      <w:r w:rsidRPr="0035198E">
        <w:t xml:space="preserve"> provided </w:t>
      </w:r>
      <w:r w:rsidR="003D44FE" w:rsidRPr="0035198E">
        <w:t xml:space="preserve">below </w:t>
      </w:r>
      <w:r w:rsidRPr="0035198E">
        <w:t>to</w:t>
      </w:r>
      <w:r w:rsidRPr="003D44FE">
        <w:t xml:space="preserve"> demonstrate this point.</w:t>
      </w:r>
    </w:p>
    <w:p w:rsidR="00566815" w:rsidRPr="00C777B4" w:rsidRDefault="00566815" w:rsidP="00C777B4">
      <w:pPr>
        <w:spacing w:after="0"/>
        <w:jc w:val="both"/>
      </w:pPr>
    </w:p>
    <w:p w:rsidR="00566815" w:rsidRPr="00C777B4" w:rsidRDefault="00566815" w:rsidP="00C777B4">
      <w:pPr>
        <w:spacing w:after="0"/>
        <w:jc w:val="both"/>
      </w:pPr>
      <w:r w:rsidRPr="00C777B4">
        <w:t xml:space="preserve">Schools and pupils are judged by identical performance data including KS2 and GCSE outcomes and also </w:t>
      </w:r>
      <w:r w:rsidR="003D44FE" w:rsidRPr="0035198E">
        <w:t>by</w:t>
      </w:r>
      <w:r w:rsidR="003D44FE">
        <w:t xml:space="preserve"> </w:t>
      </w:r>
      <w:r w:rsidRPr="00C777B4">
        <w:t xml:space="preserve">OFSTED.  Funding for schools with similar socio-economic characteristics will still be hamstrung by significant inequities under new National Funding Formula proposals.   </w:t>
      </w:r>
    </w:p>
    <w:p w:rsidR="00566815" w:rsidRPr="00C777B4" w:rsidRDefault="00566815" w:rsidP="00C777B4">
      <w:pPr>
        <w:spacing w:after="0"/>
        <w:jc w:val="both"/>
      </w:pPr>
    </w:p>
    <w:p w:rsidR="00566815" w:rsidRPr="00C777B4" w:rsidRDefault="00566815" w:rsidP="00C777B4">
      <w:pPr>
        <w:spacing w:after="0"/>
        <w:jc w:val="both"/>
      </w:pPr>
      <w:r w:rsidRPr="00C777B4">
        <w:t>Please find below exemplars of the funding disparities that will persist under the new National Funding Formula in each constituency area</w:t>
      </w:r>
      <w:r w:rsidR="00DA7A25">
        <w:t>:</w:t>
      </w:r>
    </w:p>
    <w:p w:rsidR="00566815" w:rsidRPr="00C777B4" w:rsidRDefault="00566815" w:rsidP="00C777B4">
      <w:pPr>
        <w:spacing w:after="0"/>
        <w:jc w:val="both"/>
      </w:pPr>
    </w:p>
    <w:p w:rsidR="00566815" w:rsidRPr="00C777B4" w:rsidRDefault="00566815" w:rsidP="00C777B4">
      <w:pPr>
        <w:spacing w:after="0"/>
        <w:jc w:val="both"/>
        <w:rPr>
          <w:b/>
        </w:rPr>
      </w:pPr>
      <w:r w:rsidRPr="00C777B4">
        <w:rPr>
          <w:b/>
        </w:rPr>
        <w:t>Bognor and Littlehampton –Nick Gibb MP</w:t>
      </w:r>
    </w:p>
    <w:p w:rsidR="00566815" w:rsidRPr="00C777B4" w:rsidRDefault="00566815" w:rsidP="00C777B4">
      <w:pPr>
        <w:spacing w:after="0"/>
        <w:jc w:val="both"/>
      </w:pPr>
    </w:p>
    <w:tbl>
      <w:tblPr>
        <w:tblStyle w:val="TableGrid"/>
        <w:tblW w:w="9356" w:type="dxa"/>
        <w:tblInd w:w="-5" w:type="dxa"/>
        <w:tblLook w:val="04A0" w:firstRow="1" w:lastRow="0" w:firstColumn="1" w:lastColumn="0" w:noHBand="0" w:noVBand="1"/>
      </w:tblPr>
      <w:tblGrid>
        <w:gridCol w:w="1871"/>
        <w:gridCol w:w="1871"/>
        <w:gridCol w:w="1871"/>
        <w:gridCol w:w="1871"/>
        <w:gridCol w:w="1872"/>
      </w:tblGrid>
      <w:tr w:rsidR="00C777B4" w:rsidTr="00C777B4">
        <w:tc>
          <w:tcPr>
            <w:tcW w:w="1871" w:type="dxa"/>
            <w:tcBorders>
              <w:top w:val="single" w:sz="4" w:space="0" w:color="auto"/>
              <w:left w:val="single" w:sz="4" w:space="0" w:color="auto"/>
              <w:bottom w:val="single" w:sz="4" w:space="0" w:color="auto"/>
              <w:right w:val="single" w:sz="4" w:space="0" w:color="auto"/>
            </w:tcBorders>
            <w:hideMark/>
          </w:tcPr>
          <w:p w:rsidR="00C777B4" w:rsidRDefault="00C777B4">
            <w:pPr>
              <w:rPr>
                <w:b/>
              </w:rPr>
            </w:pPr>
            <w:r>
              <w:rPr>
                <w:b/>
              </w:rPr>
              <w:t xml:space="preserve">Felpham CC </w:t>
            </w:r>
          </w:p>
          <w:p w:rsidR="00C777B4" w:rsidRDefault="00C777B4">
            <w:r>
              <w:t xml:space="preserve">(1177 students)  </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 xml:space="preserve">Greenwich </w:t>
            </w:r>
          </w:p>
          <w:p w:rsidR="00C777B4" w:rsidRDefault="00C777B4">
            <w:r>
              <w:t xml:space="preserve">(1177 students) </w:t>
            </w:r>
          </w:p>
        </w:tc>
        <w:tc>
          <w:tcPr>
            <w:tcW w:w="1871" w:type="dxa"/>
            <w:tcBorders>
              <w:top w:val="single" w:sz="4" w:space="0" w:color="auto"/>
              <w:left w:val="single" w:sz="4" w:space="0" w:color="auto"/>
              <w:bottom w:val="single" w:sz="4" w:space="0" w:color="auto"/>
              <w:right w:val="single" w:sz="4" w:space="0" w:color="auto"/>
            </w:tcBorders>
            <w:vAlign w:val="center"/>
            <w:hideMark/>
          </w:tcPr>
          <w:p w:rsidR="00C777B4" w:rsidRDefault="00C777B4">
            <w:r>
              <w:t xml:space="preserve">Difference  </w:t>
            </w:r>
          </w:p>
        </w:tc>
        <w:tc>
          <w:tcPr>
            <w:tcW w:w="1871" w:type="dxa"/>
            <w:tcBorders>
              <w:top w:val="single" w:sz="4" w:space="0" w:color="auto"/>
              <w:left w:val="single" w:sz="4" w:space="0" w:color="auto"/>
              <w:bottom w:val="single" w:sz="4" w:space="0" w:color="auto"/>
              <w:right w:val="single" w:sz="4" w:space="0" w:color="auto"/>
            </w:tcBorders>
            <w:vAlign w:val="center"/>
            <w:hideMark/>
          </w:tcPr>
          <w:p w:rsidR="00C777B4" w:rsidRDefault="00C777B4">
            <w:r>
              <w:t>Hackney</w:t>
            </w:r>
          </w:p>
          <w:p w:rsidR="00C777B4" w:rsidRDefault="00C777B4">
            <w:r>
              <w:t>(1177 students)</w:t>
            </w:r>
          </w:p>
        </w:tc>
        <w:tc>
          <w:tcPr>
            <w:tcW w:w="1872" w:type="dxa"/>
            <w:tcBorders>
              <w:top w:val="single" w:sz="4" w:space="0" w:color="auto"/>
              <w:left w:val="single" w:sz="4" w:space="0" w:color="auto"/>
              <w:bottom w:val="single" w:sz="4" w:space="0" w:color="auto"/>
              <w:right w:val="single" w:sz="4" w:space="0" w:color="auto"/>
            </w:tcBorders>
            <w:vAlign w:val="center"/>
            <w:hideMark/>
          </w:tcPr>
          <w:p w:rsidR="00C777B4" w:rsidRDefault="00C777B4">
            <w:r>
              <w:t>Difference</w:t>
            </w:r>
          </w:p>
        </w:tc>
      </w:tr>
      <w:tr w:rsidR="00C777B4" w:rsidTr="00C777B4">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£5,503,056</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£7,592,827</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rPr>
                <w:color w:val="FF0000"/>
              </w:rPr>
              <w:t>-£2,089,771 (38%)</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£9,227,680</w:t>
            </w:r>
          </w:p>
        </w:tc>
        <w:tc>
          <w:tcPr>
            <w:tcW w:w="1872" w:type="dxa"/>
            <w:tcBorders>
              <w:top w:val="single" w:sz="4" w:space="0" w:color="auto"/>
              <w:left w:val="single" w:sz="4" w:space="0" w:color="auto"/>
              <w:bottom w:val="single" w:sz="4" w:space="0" w:color="auto"/>
              <w:right w:val="single" w:sz="4" w:space="0" w:color="auto"/>
            </w:tcBorders>
            <w:hideMark/>
          </w:tcPr>
          <w:p w:rsidR="00C777B4" w:rsidRDefault="00C777B4">
            <w:pPr>
              <w:rPr>
                <w:color w:val="FF0000"/>
              </w:rPr>
            </w:pPr>
            <w:r>
              <w:rPr>
                <w:color w:val="FF0000"/>
              </w:rPr>
              <w:t>-£3,724,624 (68%)</w:t>
            </w:r>
          </w:p>
        </w:tc>
      </w:tr>
    </w:tbl>
    <w:p w:rsidR="00566815" w:rsidRDefault="00566815" w:rsidP="00C777B4">
      <w:pPr>
        <w:spacing w:after="0"/>
        <w:jc w:val="both"/>
      </w:pPr>
    </w:p>
    <w:tbl>
      <w:tblPr>
        <w:tblStyle w:val="TableGrid"/>
        <w:tblW w:w="9356" w:type="dxa"/>
        <w:tblInd w:w="-5" w:type="dxa"/>
        <w:tblLook w:val="04A0" w:firstRow="1" w:lastRow="0" w:firstColumn="1" w:lastColumn="0" w:noHBand="0" w:noVBand="1"/>
      </w:tblPr>
      <w:tblGrid>
        <w:gridCol w:w="1871"/>
        <w:gridCol w:w="1871"/>
        <w:gridCol w:w="1871"/>
        <w:gridCol w:w="1871"/>
        <w:gridCol w:w="1872"/>
      </w:tblGrid>
      <w:tr w:rsidR="00C777B4" w:rsidTr="00C777B4">
        <w:tc>
          <w:tcPr>
            <w:tcW w:w="1871" w:type="dxa"/>
            <w:tcBorders>
              <w:top w:val="single" w:sz="4" w:space="0" w:color="auto"/>
              <w:left w:val="single" w:sz="4" w:space="0" w:color="auto"/>
              <w:bottom w:val="single" w:sz="4" w:space="0" w:color="auto"/>
              <w:right w:val="single" w:sz="4" w:space="0" w:color="auto"/>
            </w:tcBorders>
            <w:hideMark/>
          </w:tcPr>
          <w:p w:rsidR="00C777B4" w:rsidRDefault="00C777B4" w:rsidP="008201BF">
            <w:pPr>
              <w:rPr>
                <w:b/>
              </w:rPr>
            </w:pPr>
            <w:r>
              <w:rPr>
                <w:b/>
              </w:rPr>
              <w:t xml:space="preserve">Littlehampton Academy </w:t>
            </w:r>
            <w:r w:rsidR="008201BF">
              <w:rPr>
                <w:b/>
              </w:rPr>
              <w:t>(</w:t>
            </w:r>
            <w:r w:rsidR="008201BF" w:rsidRPr="008201BF">
              <w:t>1263</w:t>
            </w:r>
            <w:r w:rsidR="008201BF">
              <w:rPr>
                <w:b/>
              </w:rPr>
              <w:t>)</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 xml:space="preserve">Greenwich </w:t>
            </w:r>
          </w:p>
          <w:p w:rsidR="00C777B4" w:rsidRDefault="00C777B4">
            <w:r>
              <w:t xml:space="preserve">(1263 students) </w:t>
            </w:r>
          </w:p>
        </w:tc>
        <w:tc>
          <w:tcPr>
            <w:tcW w:w="1871" w:type="dxa"/>
            <w:tcBorders>
              <w:top w:val="single" w:sz="4" w:space="0" w:color="auto"/>
              <w:left w:val="single" w:sz="4" w:space="0" w:color="auto"/>
              <w:bottom w:val="single" w:sz="4" w:space="0" w:color="auto"/>
              <w:right w:val="single" w:sz="4" w:space="0" w:color="auto"/>
            </w:tcBorders>
            <w:vAlign w:val="center"/>
            <w:hideMark/>
          </w:tcPr>
          <w:p w:rsidR="00C777B4" w:rsidRDefault="00C777B4">
            <w:r>
              <w:t xml:space="preserve">Difference  </w:t>
            </w:r>
          </w:p>
        </w:tc>
        <w:tc>
          <w:tcPr>
            <w:tcW w:w="1871" w:type="dxa"/>
            <w:tcBorders>
              <w:top w:val="single" w:sz="4" w:space="0" w:color="auto"/>
              <w:left w:val="single" w:sz="4" w:space="0" w:color="auto"/>
              <w:bottom w:val="single" w:sz="4" w:space="0" w:color="auto"/>
              <w:right w:val="single" w:sz="4" w:space="0" w:color="auto"/>
            </w:tcBorders>
            <w:vAlign w:val="center"/>
            <w:hideMark/>
          </w:tcPr>
          <w:p w:rsidR="00C777B4" w:rsidRDefault="00C777B4">
            <w:r>
              <w:t>Hackney</w:t>
            </w:r>
          </w:p>
          <w:p w:rsidR="00C777B4" w:rsidRDefault="00C777B4">
            <w:r>
              <w:t>(1263 students)</w:t>
            </w:r>
          </w:p>
        </w:tc>
        <w:tc>
          <w:tcPr>
            <w:tcW w:w="1872" w:type="dxa"/>
            <w:tcBorders>
              <w:top w:val="single" w:sz="4" w:space="0" w:color="auto"/>
              <w:left w:val="single" w:sz="4" w:space="0" w:color="auto"/>
              <w:bottom w:val="single" w:sz="4" w:space="0" w:color="auto"/>
              <w:right w:val="single" w:sz="4" w:space="0" w:color="auto"/>
            </w:tcBorders>
            <w:vAlign w:val="center"/>
            <w:hideMark/>
          </w:tcPr>
          <w:p w:rsidR="00C777B4" w:rsidRDefault="00C777B4">
            <w:r>
              <w:t>Difference</w:t>
            </w:r>
          </w:p>
        </w:tc>
      </w:tr>
      <w:tr w:rsidR="00C777B4" w:rsidTr="00C777B4">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£6,372,441</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£8,147,613</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pPr>
              <w:rPr>
                <w:color w:val="FF0000"/>
              </w:rPr>
            </w:pPr>
            <w:r>
              <w:rPr>
                <w:color w:val="FF0000"/>
              </w:rPr>
              <w:t>-£1,775,172 (28%)</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£9,901,920</w:t>
            </w:r>
          </w:p>
        </w:tc>
        <w:tc>
          <w:tcPr>
            <w:tcW w:w="1872" w:type="dxa"/>
            <w:tcBorders>
              <w:top w:val="single" w:sz="4" w:space="0" w:color="auto"/>
              <w:left w:val="single" w:sz="4" w:space="0" w:color="auto"/>
              <w:bottom w:val="single" w:sz="4" w:space="0" w:color="auto"/>
              <w:right w:val="single" w:sz="4" w:space="0" w:color="auto"/>
            </w:tcBorders>
            <w:hideMark/>
          </w:tcPr>
          <w:p w:rsidR="00C777B4" w:rsidRDefault="00C777B4">
            <w:r>
              <w:rPr>
                <w:color w:val="FF0000"/>
              </w:rPr>
              <w:t>-£3,529,479 (55%)</w:t>
            </w:r>
          </w:p>
        </w:tc>
      </w:tr>
    </w:tbl>
    <w:p w:rsidR="00C777B4" w:rsidRDefault="00C777B4" w:rsidP="00C777B4">
      <w:pPr>
        <w:spacing w:after="0"/>
        <w:jc w:val="both"/>
      </w:pPr>
    </w:p>
    <w:p w:rsidR="00566815" w:rsidRPr="00C777B4" w:rsidRDefault="00566815" w:rsidP="00C777B4">
      <w:pPr>
        <w:spacing w:after="0"/>
        <w:jc w:val="both"/>
        <w:rPr>
          <w:b/>
        </w:rPr>
      </w:pPr>
      <w:r w:rsidRPr="00C777B4">
        <w:rPr>
          <w:b/>
        </w:rPr>
        <w:t>Crawley – Henry Smith MP</w:t>
      </w:r>
    </w:p>
    <w:p w:rsidR="00566815" w:rsidRPr="00C777B4" w:rsidRDefault="00566815" w:rsidP="00C777B4">
      <w:pPr>
        <w:spacing w:after="0"/>
        <w:jc w:val="both"/>
      </w:pPr>
    </w:p>
    <w:tbl>
      <w:tblPr>
        <w:tblStyle w:val="TableGrid"/>
        <w:tblW w:w="9356" w:type="dxa"/>
        <w:tblInd w:w="-5" w:type="dxa"/>
        <w:tblLook w:val="04A0" w:firstRow="1" w:lastRow="0" w:firstColumn="1" w:lastColumn="0" w:noHBand="0" w:noVBand="1"/>
      </w:tblPr>
      <w:tblGrid>
        <w:gridCol w:w="1871"/>
        <w:gridCol w:w="1871"/>
        <w:gridCol w:w="1871"/>
        <w:gridCol w:w="1871"/>
        <w:gridCol w:w="1872"/>
      </w:tblGrid>
      <w:tr w:rsidR="00C777B4" w:rsidTr="00C777B4">
        <w:tc>
          <w:tcPr>
            <w:tcW w:w="1871" w:type="dxa"/>
            <w:tcBorders>
              <w:top w:val="single" w:sz="4" w:space="0" w:color="auto"/>
              <w:left w:val="single" w:sz="4" w:space="0" w:color="auto"/>
              <w:bottom w:val="single" w:sz="4" w:space="0" w:color="auto"/>
              <w:right w:val="single" w:sz="4" w:space="0" w:color="auto"/>
            </w:tcBorders>
            <w:hideMark/>
          </w:tcPr>
          <w:p w:rsidR="00C777B4" w:rsidRDefault="00C777B4">
            <w:pPr>
              <w:rPr>
                <w:b/>
              </w:rPr>
            </w:pPr>
            <w:r>
              <w:rPr>
                <w:b/>
              </w:rPr>
              <w:t>St Wilfrid’s</w:t>
            </w:r>
          </w:p>
          <w:p w:rsidR="00C777B4" w:rsidRDefault="00C777B4">
            <w:r>
              <w:t>(750 Students)</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 xml:space="preserve">Greenwich </w:t>
            </w:r>
          </w:p>
          <w:p w:rsidR="00C777B4" w:rsidRDefault="00C777B4">
            <w:r>
              <w:t xml:space="preserve">(750 students) </w:t>
            </w:r>
          </w:p>
        </w:tc>
        <w:tc>
          <w:tcPr>
            <w:tcW w:w="1871" w:type="dxa"/>
            <w:tcBorders>
              <w:top w:val="single" w:sz="4" w:space="0" w:color="auto"/>
              <w:left w:val="single" w:sz="4" w:space="0" w:color="auto"/>
              <w:bottom w:val="single" w:sz="4" w:space="0" w:color="auto"/>
              <w:right w:val="single" w:sz="4" w:space="0" w:color="auto"/>
            </w:tcBorders>
            <w:vAlign w:val="center"/>
            <w:hideMark/>
          </w:tcPr>
          <w:p w:rsidR="00C777B4" w:rsidRDefault="00C777B4">
            <w:r>
              <w:t xml:space="preserve">Difference  </w:t>
            </w:r>
          </w:p>
        </w:tc>
        <w:tc>
          <w:tcPr>
            <w:tcW w:w="1871" w:type="dxa"/>
            <w:tcBorders>
              <w:top w:val="single" w:sz="4" w:space="0" w:color="auto"/>
              <w:left w:val="single" w:sz="4" w:space="0" w:color="auto"/>
              <w:bottom w:val="single" w:sz="4" w:space="0" w:color="auto"/>
              <w:right w:val="single" w:sz="4" w:space="0" w:color="auto"/>
            </w:tcBorders>
            <w:vAlign w:val="center"/>
            <w:hideMark/>
          </w:tcPr>
          <w:p w:rsidR="00C777B4" w:rsidRDefault="00C777B4">
            <w:r>
              <w:t>Hackney</w:t>
            </w:r>
          </w:p>
          <w:p w:rsidR="00C777B4" w:rsidRDefault="00C777B4">
            <w:r>
              <w:t>(750 students)</w:t>
            </w:r>
          </w:p>
        </w:tc>
        <w:tc>
          <w:tcPr>
            <w:tcW w:w="1872" w:type="dxa"/>
            <w:tcBorders>
              <w:top w:val="single" w:sz="4" w:space="0" w:color="auto"/>
              <w:left w:val="single" w:sz="4" w:space="0" w:color="auto"/>
              <w:bottom w:val="single" w:sz="4" w:space="0" w:color="auto"/>
              <w:right w:val="single" w:sz="4" w:space="0" w:color="auto"/>
            </w:tcBorders>
            <w:vAlign w:val="center"/>
            <w:hideMark/>
          </w:tcPr>
          <w:p w:rsidR="00C777B4" w:rsidRDefault="00C777B4">
            <w:r>
              <w:t>Difference</w:t>
            </w:r>
          </w:p>
        </w:tc>
      </w:tr>
      <w:tr w:rsidR="00C777B4" w:rsidTr="00C777B4">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£3,741,353</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£4,838,250</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rPr>
                <w:color w:val="FF0000"/>
              </w:rPr>
              <w:t>-£1,096,897 (29%)</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£5,880,000</w:t>
            </w:r>
          </w:p>
        </w:tc>
        <w:tc>
          <w:tcPr>
            <w:tcW w:w="1872" w:type="dxa"/>
            <w:tcBorders>
              <w:top w:val="single" w:sz="4" w:space="0" w:color="auto"/>
              <w:left w:val="single" w:sz="4" w:space="0" w:color="auto"/>
              <w:bottom w:val="single" w:sz="4" w:space="0" w:color="auto"/>
              <w:right w:val="single" w:sz="4" w:space="0" w:color="auto"/>
            </w:tcBorders>
            <w:hideMark/>
          </w:tcPr>
          <w:p w:rsidR="00C777B4" w:rsidRDefault="00C777B4">
            <w:r>
              <w:rPr>
                <w:color w:val="FF0000"/>
              </w:rPr>
              <w:t>-£2,138,647 (57%)</w:t>
            </w:r>
          </w:p>
        </w:tc>
      </w:tr>
    </w:tbl>
    <w:p w:rsidR="000B1BCA" w:rsidRDefault="000B1BCA"/>
    <w:tbl>
      <w:tblPr>
        <w:tblStyle w:val="TableGrid"/>
        <w:tblW w:w="9356" w:type="dxa"/>
        <w:tblInd w:w="-5" w:type="dxa"/>
        <w:tblLook w:val="04A0" w:firstRow="1" w:lastRow="0" w:firstColumn="1" w:lastColumn="0" w:noHBand="0" w:noVBand="1"/>
      </w:tblPr>
      <w:tblGrid>
        <w:gridCol w:w="1871"/>
        <w:gridCol w:w="1871"/>
        <w:gridCol w:w="1871"/>
        <w:gridCol w:w="1871"/>
        <w:gridCol w:w="1872"/>
      </w:tblGrid>
      <w:tr w:rsidR="00C777B4" w:rsidTr="00C777B4">
        <w:tc>
          <w:tcPr>
            <w:tcW w:w="1871" w:type="dxa"/>
            <w:tcBorders>
              <w:top w:val="single" w:sz="4" w:space="0" w:color="auto"/>
              <w:left w:val="single" w:sz="4" w:space="0" w:color="auto"/>
              <w:bottom w:val="single" w:sz="4" w:space="0" w:color="auto"/>
              <w:right w:val="single" w:sz="4" w:space="0" w:color="auto"/>
            </w:tcBorders>
            <w:hideMark/>
          </w:tcPr>
          <w:p w:rsidR="00C777B4" w:rsidRDefault="00C777B4">
            <w:pPr>
              <w:rPr>
                <w:b/>
              </w:rPr>
            </w:pPr>
            <w:r>
              <w:rPr>
                <w:b/>
              </w:rPr>
              <w:t>Ifield CC</w:t>
            </w:r>
          </w:p>
          <w:p w:rsidR="00C777B4" w:rsidRDefault="00C777B4">
            <w:r>
              <w:t>(855 students)</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 xml:space="preserve">Greenwich </w:t>
            </w:r>
          </w:p>
          <w:p w:rsidR="00C777B4" w:rsidRDefault="00C777B4">
            <w:r>
              <w:t>(855 students)</w:t>
            </w:r>
          </w:p>
        </w:tc>
        <w:tc>
          <w:tcPr>
            <w:tcW w:w="1871" w:type="dxa"/>
            <w:tcBorders>
              <w:top w:val="single" w:sz="4" w:space="0" w:color="auto"/>
              <w:left w:val="single" w:sz="4" w:space="0" w:color="auto"/>
              <w:bottom w:val="single" w:sz="4" w:space="0" w:color="auto"/>
              <w:right w:val="single" w:sz="4" w:space="0" w:color="auto"/>
            </w:tcBorders>
            <w:vAlign w:val="center"/>
            <w:hideMark/>
          </w:tcPr>
          <w:p w:rsidR="00C777B4" w:rsidRDefault="00C777B4">
            <w:r>
              <w:t xml:space="preserve">Difference  </w:t>
            </w:r>
          </w:p>
        </w:tc>
        <w:tc>
          <w:tcPr>
            <w:tcW w:w="1871" w:type="dxa"/>
            <w:tcBorders>
              <w:top w:val="single" w:sz="4" w:space="0" w:color="auto"/>
              <w:left w:val="single" w:sz="4" w:space="0" w:color="auto"/>
              <w:bottom w:val="single" w:sz="4" w:space="0" w:color="auto"/>
              <w:right w:val="single" w:sz="4" w:space="0" w:color="auto"/>
            </w:tcBorders>
            <w:vAlign w:val="center"/>
            <w:hideMark/>
          </w:tcPr>
          <w:p w:rsidR="00C777B4" w:rsidRDefault="00C777B4">
            <w:r>
              <w:t>Hackney</w:t>
            </w:r>
          </w:p>
          <w:p w:rsidR="00C777B4" w:rsidRDefault="00C777B4">
            <w:r>
              <w:t>(855 students)</w:t>
            </w:r>
          </w:p>
        </w:tc>
        <w:tc>
          <w:tcPr>
            <w:tcW w:w="1872" w:type="dxa"/>
            <w:tcBorders>
              <w:top w:val="single" w:sz="4" w:space="0" w:color="auto"/>
              <w:left w:val="single" w:sz="4" w:space="0" w:color="auto"/>
              <w:bottom w:val="single" w:sz="4" w:space="0" w:color="auto"/>
              <w:right w:val="single" w:sz="4" w:space="0" w:color="auto"/>
            </w:tcBorders>
            <w:vAlign w:val="center"/>
            <w:hideMark/>
          </w:tcPr>
          <w:p w:rsidR="00C777B4" w:rsidRDefault="00C777B4">
            <w:r>
              <w:t>Difference</w:t>
            </w:r>
          </w:p>
        </w:tc>
      </w:tr>
      <w:tr w:rsidR="00C777B4" w:rsidTr="00C777B4">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£4,511,520</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£5,515,605</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pPr>
              <w:rPr>
                <w:color w:val="FF0000"/>
              </w:rPr>
            </w:pPr>
            <w:r>
              <w:rPr>
                <w:color w:val="FF0000"/>
              </w:rPr>
              <w:t>-£1,004,085 (22%)</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£6,703,200</w:t>
            </w:r>
          </w:p>
        </w:tc>
        <w:tc>
          <w:tcPr>
            <w:tcW w:w="1872" w:type="dxa"/>
            <w:tcBorders>
              <w:top w:val="single" w:sz="4" w:space="0" w:color="auto"/>
              <w:left w:val="single" w:sz="4" w:space="0" w:color="auto"/>
              <w:bottom w:val="single" w:sz="4" w:space="0" w:color="auto"/>
              <w:right w:val="single" w:sz="4" w:space="0" w:color="auto"/>
            </w:tcBorders>
            <w:hideMark/>
          </w:tcPr>
          <w:p w:rsidR="00C777B4" w:rsidRDefault="00C777B4">
            <w:pPr>
              <w:rPr>
                <w:color w:val="FF0000"/>
              </w:rPr>
            </w:pPr>
            <w:r>
              <w:rPr>
                <w:color w:val="FF0000"/>
              </w:rPr>
              <w:t>-£2,191,680 (49%)</w:t>
            </w:r>
          </w:p>
        </w:tc>
      </w:tr>
    </w:tbl>
    <w:p w:rsidR="00C777B4" w:rsidRDefault="00C777B4" w:rsidP="00C777B4">
      <w:pPr>
        <w:spacing w:after="0"/>
        <w:jc w:val="both"/>
      </w:pPr>
    </w:p>
    <w:tbl>
      <w:tblPr>
        <w:tblStyle w:val="TableGrid"/>
        <w:tblW w:w="9356" w:type="dxa"/>
        <w:tblInd w:w="-5" w:type="dxa"/>
        <w:tblLook w:val="04A0" w:firstRow="1" w:lastRow="0" w:firstColumn="1" w:lastColumn="0" w:noHBand="0" w:noVBand="1"/>
      </w:tblPr>
      <w:tblGrid>
        <w:gridCol w:w="1871"/>
        <w:gridCol w:w="1871"/>
        <w:gridCol w:w="1871"/>
        <w:gridCol w:w="1871"/>
        <w:gridCol w:w="1872"/>
      </w:tblGrid>
      <w:tr w:rsidR="00C777B4" w:rsidTr="00C777B4">
        <w:tc>
          <w:tcPr>
            <w:tcW w:w="1871" w:type="dxa"/>
            <w:tcBorders>
              <w:top w:val="single" w:sz="4" w:space="0" w:color="auto"/>
              <w:left w:val="single" w:sz="4" w:space="0" w:color="auto"/>
              <w:bottom w:val="single" w:sz="4" w:space="0" w:color="auto"/>
              <w:right w:val="single" w:sz="4" w:space="0" w:color="auto"/>
            </w:tcBorders>
            <w:hideMark/>
          </w:tcPr>
          <w:p w:rsidR="00C777B4" w:rsidRDefault="00C777B4">
            <w:pPr>
              <w:rPr>
                <w:b/>
              </w:rPr>
            </w:pPr>
            <w:r>
              <w:rPr>
                <w:b/>
              </w:rPr>
              <w:t>Oriel</w:t>
            </w:r>
          </w:p>
          <w:p w:rsidR="00C777B4" w:rsidRDefault="00C777B4">
            <w:r>
              <w:t>(1189 Students)</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 xml:space="preserve">Greenwich </w:t>
            </w:r>
          </w:p>
          <w:p w:rsidR="00C777B4" w:rsidRDefault="00C777B4">
            <w:r>
              <w:t>(1189 students)</w:t>
            </w:r>
          </w:p>
        </w:tc>
        <w:tc>
          <w:tcPr>
            <w:tcW w:w="1871" w:type="dxa"/>
            <w:tcBorders>
              <w:top w:val="single" w:sz="4" w:space="0" w:color="auto"/>
              <w:left w:val="single" w:sz="4" w:space="0" w:color="auto"/>
              <w:bottom w:val="single" w:sz="4" w:space="0" w:color="auto"/>
              <w:right w:val="single" w:sz="4" w:space="0" w:color="auto"/>
            </w:tcBorders>
            <w:vAlign w:val="center"/>
            <w:hideMark/>
          </w:tcPr>
          <w:p w:rsidR="00C777B4" w:rsidRDefault="00C777B4">
            <w:r>
              <w:t xml:space="preserve">Difference  </w:t>
            </w:r>
          </w:p>
        </w:tc>
        <w:tc>
          <w:tcPr>
            <w:tcW w:w="1871" w:type="dxa"/>
            <w:tcBorders>
              <w:top w:val="single" w:sz="4" w:space="0" w:color="auto"/>
              <w:left w:val="single" w:sz="4" w:space="0" w:color="auto"/>
              <w:bottom w:val="single" w:sz="4" w:space="0" w:color="auto"/>
              <w:right w:val="single" w:sz="4" w:space="0" w:color="auto"/>
            </w:tcBorders>
            <w:vAlign w:val="center"/>
            <w:hideMark/>
          </w:tcPr>
          <w:p w:rsidR="00C777B4" w:rsidRDefault="00C777B4">
            <w:r>
              <w:t>Hackney</w:t>
            </w:r>
          </w:p>
          <w:p w:rsidR="00C777B4" w:rsidRDefault="00C777B4">
            <w:r>
              <w:t>(1189 students)</w:t>
            </w:r>
          </w:p>
        </w:tc>
        <w:tc>
          <w:tcPr>
            <w:tcW w:w="1872" w:type="dxa"/>
            <w:tcBorders>
              <w:top w:val="single" w:sz="4" w:space="0" w:color="auto"/>
              <w:left w:val="single" w:sz="4" w:space="0" w:color="auto"/>
              <w:bottom w:val="single" w:sz="4" w:space="0" w:color="auto"/>
              <w:right w:val="single" w:sz="4" w:space="0" w:color="auto"/>
            </w:tcBorders>
            <w:vAlign w:val="center"/>
            <w:hideMark/>
          </w:tcPr>
          <w:p w:rsidR="00C777B4" w:rsidRDefault="00C777B4">
            <w:r>
              <w:t>Difference</w:t>
            </w:r>
          </w:p>
        </w:tc>
      </w:tr>
      <w:tr w:rsidR="00C777B4" w:rsidTr="00C777B4">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£5,504,332</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£7,670,239</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pPr>
              <w:rPr>
                <w:color w:val="FF0000"/>
              </w:rPr>
            </w:pPr>
            <w:r>
              <w:rPr>
                <w:color w:val="FF0000"/>
              </w:rPr>
              <w:t>-£2,165,907 (39%)</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£9,321,760</w:t>
            </w:r>
          </w:p>
        </w:tc>
        <w:tc>
          <w:tcPr>
            <w:tcW w:w="1872" w:type="dxa"/>
            <w:tcBorders>
              <w:top w:val="single" w:sz="4" w:space="0" w:color="auto"/>
              <w:left w:val="single" w:sz="4" w:space="0" w:color="auto"/>
              <w:bottom w:val="single" w:sz="4" w:space="0" w:color="auto"/>
              <w:right w:val="single" w:sz="4" w:space="0" w:color="auto"/>
            </w:tcBorders>
            <w:hideMark/>
          </w:tcPr>
          <w:p w:rsidR="00C777B4" w:rsidRDefault="00C777B4">
            <w:pPr>
              <w:rPr>
                <w:color w:val="FF0000"/>
              </w:rPr>
            </w:pPr>
            <w:r>
              <w:rPr>
                <w:color w:val="FF0000"/>
              </w:rPr>
              <w:t>-£3,817,428 (69%)</w:t>
            </w:r>
          </w:p>
        </w:tc>
      </w:tr>
    </w:tbl>
    <w:p w:rsidR="00C777B4" w:rsidRDefault="00C777B4" w:rsidP="00C777B4">
      <w:pPr>
        <w:spacing w:after="0"/>
        <w:jc w:val="both"/>
      </w:pPr>
    </w:p>
    <w:p w:rsidR="008201BF" w:rsidRDefault="008201BF" w:rsidP="00C777B4">
      <w:pPr>
        <w:spacing w:after="0"/>
        <w:jc w:val="both"/>
        <w:rPr>
          <w:b/>
        </w:rPr>
      </w:pPr>
    </w:p>
    <w:p w:rsidR="00566815" w:rsidRPr="00C777B4" w:rsidRDefault="00566815" w:rsidP="00C777B4">
      <w:pPr>
        <w:spacing w:after="0"/>
        <w:jc w:val="both"/>
        <w:rPr>
          <w:b/>
        </w:rPr>
      </w:pPr>
      <w:r w:rsidRPr="00C777B4">
        <w:rPr>
          <w:b/>
        </w:rPr>
        <w:t>Horsham – Jeremy Quin MP</w:t>
      </w:r>
    </w:p>
    <w:p w:rsidR="00566815" w:rsidRPr="00C777B4" w:rsidRDefault="00566815" w:rsidP="00C777B4">
      <w:pPr>
        <w:spacing w:after="0"/>
        <w:jc w:val="both"/>
      </w:pPr>
    </w:p>
    <w:tbl>
      <w:tblPr>
        <w:tblStyle w:val="TableGrid"/>
        <w:tblW w:w="9356" w:type="dxa"/>
        <w:tblInd w:w="-5" w:type="dxa"/>
        <w:tblLook w:val="04A0" w:firstRow="1" w:lastRow="0" w:firstColumn="1" w:lastColumn="0" w:noHBand="0" w:noVBand="1"/>
      </w:tblPr>
      <w:tblGrid>
        <w:gridCol w:w="1871"/>
        <w:gridCol w:w="1871"/>
        <w:gridCol w:w="1871"/>
        <w:gridCol w:w="1871"/>
        <w:gridCol w:w="1872"/>
      </w:tblGrid>
      <w:tr w:rsidR="00C777B4" w:rsidTr="00C777B4">
        <w:tc>
          <w:tcPr>
            <w:tcW w:w="1871" w:type="dxa"/>
            <w:tcBorders>
              <w:top w:val="single" w:sz="4" w:space="0" w:color="auto"/>
              <w:left w:val="single" w:sz="4" w:space="0" w:color="auto"/>
              <w:bottom w:val="single" w:sz="4" w:space="0" w:color="auto"/>
              <w:right w:val="single" w:sz="4" w:space="0" w:color="auto"/>
            </w:tcBorders>
            <w:hideMark/>
          </w:tcPr>
          <w:p w:rsidR="00C777B4" w:rsidRDefault="00C777B4">
            <w:pPr>
              <w:rPr>
                <w:b/>
              </w:rPr>
            </w:pPr>
            <w:r>
              <w:rPr>
                <w:b/>
              </w:rPr>
              <w:t>Tanbridge House</w:t>
            </w:r>
          </w:p>
          <w:p w:rsidR="00C777B4" w:rsidRDefault="00C777B4">
            <w:r>
              <w:t>(1420 students)</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 xml:space="preserve">Greenwich </w:t>
            </w:r>
          </w:p>
          <w:p w:rsidR="00C777B4" w:rsidRDefault="00C777B4">
            <w:r>
              <w:t xml:space="preserve">(1420 students) </w:t>
            </w:r>
          </w:p>
        </w:tc>
        <w:tc>
          <w:tcPr>
            <w:tcW w:w="1871" w:type="dxa"/>
            <w:tcBorders>
              <w:top w:val="single" w:sz="4" w:space="0" w:color="auto"/>
              <w:left w:val="single" w:sz="4" w:space="0" w:color="auto"/>
              <w:bottom w:val="single" w:sz="4" w:space="0" w:color="auto"/>
              <w:right w:val="single" w:sz="4" w:space="0" w:color="auto"/>
            </w:tcBorders>
            <w:vAlign w:val="center"/>
            <w:hideMark/>
          </w:tcPr>
          <w:p w:rsidR="00C777B4" w:rsidRDefault="00C777B4">
            <w:r>
              <w:t xml:space="preserve">Difference  </w:t>
            </w:r>
          </w:p>
        </w:tc>
        <w:tc>
          <w:tcPr>
            <w:tcW w:w="1871" w:type="dxa"/>
            <w:tcBorders>
              <w:top w:val="single" w:sz="4" w:space="0" w:color="auto"/>
              <w:left w:val="single" w:sz="4" w:space="0" w:color="auto"/>
              <w:bottom w:val="single" w:sz="4" w:space="0" w:color="auto"/>
              <w:right w:val="single" w:sz="4" w:space="0" w:color="auto"/>
            </w:tcBorders>
            <w:vAlign w:val="center"/>
            <w:hideMark/>
          </w:tcPr>
          <w:p w:rsidR="00C777B4" w:rsidRDefault="00C777B4">
            <w:r>
              <w:t>Hackney</w:t>
            </w:r>
          </w:p>
          <w:p w:rsidR="00C777B4" w:rsidRDefault="00C777B4">
            <w:r>
              <w:t>(1420 students)</w:t>
            </w:r>
          </w:p>
        </w:tc>
        <w:tc>
          <w:tcPr>
            <w:tcW w:w="1872" w:type="dxa"/>
            <w:tcBorders>
              <w:top w:val="single" w:sz="4" w:space="0" w:color="auto"/>
              <w:left w:val="single" w:sz="4" w:space="0" w:color="auto"/>
              <w:bottom w:val="single" w:sz="4" w:space="0" w:color="auto"/>
              <w:right w:val="single" w:sz="4" w:space="0" w:color="auto"/>
            </w:tcBorders>
            <w:vAlign w:val="center"/>
            <w:hideMark/>
          </w:tcPr>
          <w:p w:rsidR="00C777B4" w:rsidRDefault="00C777B4">
            <w:r>
              <w:t>Difference</w:t>
            </w:r>
          </w:p>
        </w:tc>
      </w:tr>
      <w:tr w:rsidR="00C777B4" w:rsidTr="00C777B4">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£6,517,800</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£9,160,420</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pPr>
              <w:rPr>
                <w:color w:val="FF0000"/>
              </w:rPr>
            </w:pPr>
            <w:r>
              <w:rPr>
                <w:color w:val="FF0000"/>
              </w:rPr>
              <w:t>-£2,642,620 (41%)</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£11,132,800</w:t>
            </w:r>
          </w:p>
        </w:tc>
        <w:tc>
          <w:tcPr>
            <w:tcW w:w="1872" w:type="dxa"/>
            <w:tcBorders>
              <w:top w:val="single" w:sz="4" w:space="0" w:color="auto"/>
              <w:left w:val="single" w:sz="4" w:space="0" w:color="auto"/>
              <w:bottom w:val="single" w:sz="4" w:space="0" w:color="auto"/>
              <w:right w:val="single" w:sz="4" w:space="0" w:color="auto"/>
            </w:tcBorders>
            <w:hideMark/>
          </w:tcPr>
          <w:p w:rsidR="00C777B4" w:rsidRDefault="00C777B4">
            <w:pPr>
              <w:rPr>
                <w:color w:val="FF0000"/>
              </w:rPr>
            </w:pPr>
            <w:r>
              <w:rPr>
                <w:color w:val="FF0000"/>
              </w:rPr>
              <w:t>-£4,615,000 (71%)</w:t>
            </w:r>
          </w:p>
        </w:tc>
      </w:tr>
    </w:tbl>
    <w:p w:rsidR="00566815" w:rsidRDefault="00566815" w:rsidP="00C777B4">
      <w:pPr>
        <w:spacing w:after="0"/>
        <w:jc w:val="both"/>
      </w:pPr>
    </w:p>
    <w:tbl>
      <w:tblPr>
        <w:tblStyle w:val="TableGrid"/>
        <w:tblW w:w="9356" w:type="dxa"/>
        <w:tblInd w:w="-5" w:type="dxa"/>
        <w:tblLook w:val="04A0" w:firstRow="1" w:lastRow="0" w:firstColumn="1" w:lastColumn="0" w:noHBand="0" w:noVBand="1"/>
      </w:tblPr>
      <w:tblGrid>
        <w:gridCol w:w="1871"/>
        <w:gridCol w:w="1871"/>
        <w:gridCol w:w="1871"/>
        <w:gridCol w:w="1871"/>
        <w:gridCol w:w="1872"/>
      </w:tblGrid>
      <w:tr w:rsidR="00C777B4" w:rsidTr="00C777B4">
        <w:tc>
          <w:tcPr>
            <w:tcW w:w="1871" w:type="dxa"/>
            <w:tcBorders>
              <w:top w:val="single" w:sz="4" w:space="0" w:color="auto"/>
              <w:left w:val="single" w:sz="4" w:space="0" w:color="auto"/>
              <w:bottom w:val="single" w:sz="4" w:space="0" w:color="auto"/>
              <w:right w:val="single" w:sz="4" w:space="0" w:color="auto"/>
            </w:tcBorders>
            <w:hideMark/>
          </w:tcPr>
          <w:p w:rsidR="00C777B4" w:rsidRDefault="00C777B4">
            <w:pPr>
              <w:rPr>
                <w:b/>
              </w:rPr>
            </w:pPr>
            <w:r>
              <w:rPr>
                <w:b/>
              </w:rPr>
              <w:t>The Weald</w:t>
            </w:r>
          </w:p>
          <w:p w:rsidR="00C777B4" w:rsidRDefault="00C777B4">
            <w:r>
              <w:t>(1322 students)</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 xml:space="preserve">Greenwich </w:t>
            </w:r>
          </w:p>
          <w:p w:rsidR="00C777B4" w:rsidRDefault="00C777B4">
            <w:r>
              <w:t xml:space="preserve">(1322 students) </w:t>
            </w:r>
          </w:p>
        </w:tc>
        <w:tc>
          <w:tcPr>
            <w:tcW w:w="1871" w:type="dxa"/>
            <w:tcBorders>
              <w:top w:val="single" w:sz="4" w:space="0" w:color="auto"/>
              <w:left w:val="single" w:sz="4" w:space="0" w:color="auto"/>
              <w:bottom w:val="single" w:sz="4" w:space="0" w:color="auto"/>
              <w:right w:val="single" w:sz="4" w:space="0" w:color="auto"/>
            </w:tcBorders>
            <w:vAlign w:val="center"/>
            <w:hideMark/>
          </w:tcPr>
          <w:p w:rsidR="00C777B4" w:rsidRDefault="00C777B4">
            <w:r>
              <w:t xml:space="preserve">Difference  </w:t>
            </w:r>
          </w:p>
        </w:tc>
        <w:tc>
          <w:tcPr>
            <w:tcW w:w="1871" w:type="dxa"/>
            <w:tcBorders>
              <w:top w:val="single" w:sz="4" w:space="0" w:color="auto"/>
              <w:left w:val="single" w:sz="4" w:space="0" w:color="auto"/>
              <w:bottom w:val="single" w:sz="4" w:space="0" w:color="auto"/>
              <w:right w:val="single" w:sz="4" w:space="0" w:color="auto"/>
            </w:tcBorders>
            <w:vAlign w:val="center"/>
            <w:hideMark/>
          </w:tcPr>
          <w:p w:rsidR="00C777B4" w:rsidRDefault="00C777B4">
            <w:r>
              <w:t>Hackney</w:t>
            </w:r>
          </w:p>
          <w:p w:rsidR="00C777B4" w:rsidRDefault="00C777B4">
            <w:r>
              <w:t>(1322 students)</w:t>
            </w:r>
          </w:p>
        </w:tc>
        <w:tc>
          <w:tcPr>
            <w:tcW w:w="1872" w:type="dxa"/>
            <w:tcBorders>
              <w:top w:val="single" w:sz="4" w:space="0" w:color="auto"/>
              <w:left w:val="single" w:sz="4" w:space="0" w:color="auto"/>
              <w:bottom w:val="single" w:sz="4" w:space="0" w:color="auto"/>
              <w:right w:val="single" w:sz="4" w:space="0" w:color="auto"/>
            </w:tcBorders>
            <w:vAlign w:val="center"/>
            <w:hideMark/>
          </w:tcPr>
          <w:p w:rsidR="00C777B4" w:rsidRDefault="00C777B4">
            <w:r>
              <w:t>Difference</w:t>
            </w:r>
          </w:p>
        </w:tc>
      </w:tr>
      <w:tr w:rsidR="00C777B4" w:rsidTr="00C777B4">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£6,067,980</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£8,528,222</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pPr>
              <w:rPr>
                <w:color w:val="FF0000"/>
              </w:rPr>
            </w:pPr>
            <w:r>
              <w:rPr>
                <w:color w:val="FF0000"/>
              </w:rPr>
              <w:t>-£2,460,242 (40%)</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£10,364,480</w:t>
            </w:r>
          </w:p>
        </w:tc>
        <w:tc>
          <w:tcPr>
            <w:tcW w:w="1872" w:type="dxa"/>
            <w:tcBorders>
              <w:top w:val="single" w:sz="4" w:space="0" w:color="auto"/>
              <w:left w:val="single" w:sz="4" w:space="0" w:color="auto"/>
              <w:bottom w:val="single" w:sz="4" w:space="0" w:color="auto"/>
              <w:right w:val="single" w:sz="4" w:space="0" w:color="auto"/>
            </w:tcBorders>
            <w:hideMark/>
          </w:tcPr>
          <w:p w:rsidR="00C777B4" w:rsidRDefault="00C777B4">
            <w:pPr>
              <w:rPr>
                <w:color w:val="FF0000"/>
              </w:rPr>
            </w:pPr>
            <w:r>
              <w:rPr>
                <w:color w:val="FF0000"/>
              </w:rPr>
              <w:t>-£4,296,500 (71%)</w:t>
            </w:r>
          </w:p>
        </w:tc>
      </w:tr>
    </w:tbl>
    <w:p w:rsidR="00C777B4" w:rsidRDefault="00C777B4" w:rsidP="00C777B4">
      <w:pPr>
        <w:spacing w:after="0"/>
        <w:jc w:val="both"/>
      </w:pPr>
    </w:p>
    <w:p w:rsidR="008201BF" w:rsidRDefault="008201BF" w:rsidP="00C777B4">
      <w:pPr>
        <w:spacing w:after="0"/>
        <w:jc w:val="both"/>
        <w:rPr>
          <w:b/>
        </w:rPr>
      </w:pPr>
    </w:p>
    <w:p w:rsidR="00566815" w:rsidRPr="00C777B4" w:rsidRDefault="00566815" w:rsidP="00C777B4">
      <w:pPr>
        <w:spacing w:after="0"/>
        <w:jc w:val="both"/>
        <w:rPr>
          <w:b/>
        </w:rPr>
      </w:pPr>
      <w:r w:rsidRPr="00C777B4">
        <w:rPr>
          <w:b/>
        </w:rPr>
        <w:t>Mid Sussex – Sir Nicholas Soames MP</w:t>
      </w:r>
    </w:p>
    <w:p w:rsidR="00566815" w:rsidRPr="00C777B4" w:rsidRDefault="00566815" w:rsidP="00C777B4">
      <w:pPr>
        <w:spacing w:after="0"/>
        <w:jc w:val="both"/>
      </w:pPr>
    </w:p>
    <w:tbl>
      <w:tblPr>
        <w:tblStyle w:val="TableGrid"/>
        <w:tblW w:w="9356" w:type="dxa"/>
        <w:tblInd w:w="-5" w:type="dxa"/>
        <w:tblLook w:val="04A0" w:firstRow="1" w:lastRow="0" w:firstColumn="1" w:lastColumn="0" w:noHBand="0" w:noVBand="1"/>
      </w:tblPr>
      <w:tblGrid>
        <w:gridCol w:w="1871"/>
        <w:gridCol w:w="1871"/>
        <w:gridCol w:w="1871"/>
        <w:gridCol w:w="1871"/>
        <w:gridCol w:w="1872"/>
      </w:tblGrid>
      <w:tr w:rsidR="00C777B4" w:rsidTr="00C777B4">
        <w:tc>
          <w:tcPr>
            <w:tcW w:w="1871" w:type="dxa"/>
            <w:tcBorders>
              <w:top w:val="single" w:sz="4" w:space="0" w:color="auto"/>
              <w:left w:val="single" w:sz="4" w:space="0" w:color="auto"/>
              <w:bottom w:val="single" w:sz="4" w:space="0" w:color="auto"/>
              <w:right w:val="single" w:sz="4" w:space="0" w:color="auto"/>
            </w:tcBorders>
            <w:hideMark/>
          </w:tcPr>
          <w:p w:rsidR="00C777B4" w:rsidRDefault="00C777B4">
            <w:pPr>
              <w:rPr>
                <w:b/>
              </w:rPr>
            </w:pPr>
            <w:r>
              <w:rPr>
                <w:b/>
              </w:rPr>
              <w:t>St Paul’s</w:t>
            </w:r>
          </w:p>
          <w:p w:rsidR="00C777B4" w:rsidRDefault="00C777B4">
            <w:r>
              <w:t>(758 students)</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 xml:space="preserve">Greenwich </w:t>
            </w:r>
          </w:p>
          <w:p w:rsidR="00C777B4" w:rsidRDefault="00C777B4">
            <w:r>
              <w:t>(758 students)</w:t>
            </w:r>
          </w:p>
        </w:tc>
        <w:tc>
          <w:tcPr>
            <w:tcW w:w="1871" w:type="dxa"/>
            <w:tcBorders>
              <w:top w:val="single" w:sz="4" w:space="0" w:color="auto"/>
              <w:left w:val="single" w:sz="4" w:space="0" w:color="auto"/>
              <w:bottom w:val="single" w:sz="4" w:space="0" w:color="auto"/>
              <w:right w:val="single" w:sz="4" w:space="0" w:color="auto"/>
            </w:tcBorders>
            <w:vAlign w:val="center"/>
            <w:hideMark/>
          </w:tcPr>
          <w:p w:rsidR="00C777B4" w:rsidRDefault="00C777B4">
            <w:r>
              <w:t xml:space="preserve">Difference  </w:t>
            </w:r>
          </w:p>
        </w:tc>
        <w:tc>
          <w:tcPr>
            <w:tcW w:w="1871" w:type="dxa"/>
            <w:tcBorders>
              <w:top w:val="single" w:sz="4" w:space="0" w:color="auto"/>
              <w:left w:val="single" w:sz="4" w:space="0" w:color="auto"/>
              <w:bottom w:val="single" w:sz="4" w:space="0" w:color="auto"/>
              <w:right w:val="single" w:sz="4" w:space="0" w:color="auto"/>
            </w:tcBorders>
            <w:vAlign w:val="center"/>
            <w:hideMark/>
          </w:tcPr>
          <w:p w:rsidR="00C777B4" w:rsidRDefault="00C777B4">
            <w:r>
              <w:t>Hackney</w:t>
            </w:r>
          </w:p>
          <w:p w:rsidR="00C777B4" w:rsidRDefault="00C777B4">
            <w:r>
              <w:t>(758 students)</w:t>
            </w:r>
          </w:p>
        </w:tc>
        <w:tc>
          <w:tcPr>
            <w:tcW w:w="1872" w:type="dxa"/>
            <w:tcBorders>
              <w:top w:val="single" w:sz="4" w:space="0" w:color="auto"/>
              <w:left w:val="single" w:sz="4" w:space="0" w:color="auto"/>
              <w:bottom w:val="single" w:sz="4" w:space="0" w:color="auto"/>
              <w:right w:val="single" w:sz="4" w:space="0" w:color="auto"/>
            </w:tcBorders>
            <w:vAlign w:val="center"/>
            <w:hideMark/>
          </w:tcPr>
          <w:p w:rsidR="00C777B4" w:rsidRDefault="00C777B4">
            <w:r>
              <w:t>Difference</w:t>
            </w:r>
          </w:p>
        </w:tc>
      </w:tr>
      <w:tr w:rsidR="00C777B4" w:rsidTr="00C777B4">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£3,479,220</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£4,889,858</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pPr>
              <w:rPr>
                <w:color w:val="FF0000"/>
              </w:rPr>
            </w:pPr>
            <w:r>
              <w:rPr>
                <w:color w:val="FF0000"/>
              </w:rPr>
              <w:t>-£1,410,638 (41%)</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£5,942,720</w:t>
            </w:r>
          </w:p>
        </w:tc>
        <w:tc>
          <w:tcPr>
            <w:tcW w:w="1872" w:type="dxa"/>
            <w:tcBorders>
              <w:top w:val="single" w:sz="4" w:space="0" w:color="auto"/>
              <w:left w:val="single" w:sz="4" w:space="0" w:color="auto"/>
              <w:bottom w:val="single" w:sz="4" w:space="0" w:color="auto"/>
              <w:right w:val="single" w:sz="4" w:space="0" w:color="auto"/>
            </w:tcBorders>
            <w:hideMark/>
          </w:tcPr>
          <w:p w:rsidR="00C777B4" w:rsidRDefault="00C777B4">
            <w:pPr>
              <w:rPr>
                <w:color w:val="FF0000"/>
              </w:rPr>
            </w:pPr>
            <w:r>
              <w:rPr>
                <w:color w:val="FF0000"/>
              </w:rPr>
              <w:t>-£2,463,500 (70%)</w:t>
            </w:r>
          </w:p>
        </w:tc>
      </w:tr>
    </w:tbl>
    <w:p w:rsidR="00566815" w:rsidRDefault="00566815" w:rsidP="00C777B4">
      <w:pPr>
        <w:spacing w:after="0"/>
        <w:jc w:val="both"/>
      </w:pPr>
    </w:p>
    <w:tbl>
      <w:tblPr>
        <w:tblStyle w:val="TableGrid"/>
        <w:tblW w:w="9356" w:type="dxa"/>
        <w:tblInd w:w="-5" w:type="dxa"/>
        <w:tblLook w:val="04A0" w:firstRow="1" w:lastRow="0" w:firstColumn="1" w:lastColumn="0" w:noHBand="0" w:noVBand="1"/>
      </w:tblPr>
      <w:tblGrid>
        <w:gridCol w:w="1871"/>
        <w:gridCol w:w="1871"/>
        <w:gridCol w:w="1871"/>
        <w:gridCol w:w="1871"/>
        <w:gridCol w:w="1872"/>
      </w:tblGrid>
      <w:tr w:rsidR="00C777B4" w:rsidTr="00C777B4">
        <w:tc>
          <w:tcPr>
            <w:tcW w:w="1871" w:type="dxa"/>
            <w:tcBorders>
              <w:top w:val="single" w:sz="4" w:space="0" w:color="auto"/>
              <w:left w:val="single" w:sz="4" w:space="0" w:color="auto"/>
              <w:bottom w:val="single" w:sz="4" w:space="0" w:color="auto"/>
              <w:right w:val="single" w:sz="4" w:space="0" w:color="auto"/>
            </w:tcBorders>
            <w:hideMark/>
          </w:tcPr>
          <w:p w:rsidR="00C777B4" w:rsidRDefault="00C777B4">
            <w:pPr>
              <w:rPr>
                <w:b/>
              </w:rPr>
            </w:pPr>
            <w:r>
              <w:rPr>
                <w:b/>
              </w:rPr>
              <w:t>Sackville</w:t>
            </w:r>
          </w:p>
          <w:p w:rsidR="00C777B4" w:rsidRDefault="00C777B4">
            <w:r>
              <w:t>(1244 students)</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 xml:space="preserve">Greenwich </w:t>
            </w:r>
          </w:p>
          <w:p w:rsidR="00C777B4" w:rsidRDefault="00C777B4">
            <w:r>
              <w:t>(1244 students)</w:t>
            </w:r>
          </w:p>
        </w:tc>
        <w:tc>
          <w:tcPr>
            <w:tcW w:w="1871" w:type="dxa"/>
            <w:tcBorders>
              <w:top w:val="single" w:sz="4" w:space="0" w:color="auto"/>
              <w:left w:val="single" w:sz="4" w:space="0" w:color="auto"/>
              <w:bottom w:val="single" w:sz="4" w:space="0" w:color="auto"/>
              <w:right w:val="single" w:sz="4" w:space="0" w:color="auto"/>
            </w:tcBorders>
            <w:vAlign w:val="center"/>
            <w:hideMark/>
          </w:tcPr>
          <w:p w:rsidR="00C777B4" w:rsidRDefault="00C777B4">
            <w:r>
              <w:t xml:space="preserve">Difference  </w:t>
            </w:r>
          </w:p>
        </w:tc>
        <w:tc>
          <w:tcPr>
            <w:tcW w:w="1871" w:type="dxa"/>
            <w:tcBorders>
              <w:top w:val="single" w:sz="4" w:space="0" w:color="auto"/>
              <w:left w:val="single" w:sz="4" w:space="0" w:color="auto"/>
              <w:bottom w:val="single" w:sz="4" w:space="0" w:color="auto"/>
              <w:right w:val="single" w:sz="4" w:space="0" w:color="auto"/>
            </w:tcBorders>
            <w:vAlign w:val="center"/>
            <w:hideMark/>
          </w:tcPr>
          <w:p w:rsidR="00C777B4" w:rsidRDefault="00C777B4">
            <w:r>
              <w:t>Hackney</w:t>
            </w:r>
          </w:p>
          <w:p w:rsidR="00C777B4" w:rsidRDefault="00C777B4">
            <w:r>
              <w:t>(1244 students)</w:t>
            </w:r>
          </w:p>
        </w:tc>
        <w:tc>
          <w:tcPr>
            <w:tcW w:w="1872" w:type="dxa"/>
            <w:tcBorders>
              <w:top w:val="single" w:sz="4" w:space="0" w:color="auto"/>
              <w:left w:val="single" w:sz="4" w:space="0" w:color="auto"/>
              <w:bottom w:val="single" w:sz="4" w:space="0" w:color="auto"/>
              <w:right w:val="single" w:sz="4" w:space="0" w:color="auto"/>
            </w:tcBorders>
            <w:vAlign w:val="center"/>
            <w:hideMark/>
          </w:tcPr>
          <w:p w:rsidR="00C777B4" w:rsidRDefault="00C777B4">
            <w:r>
              <w:t>Difference</w:t>
            </w:r>
          </w:p>
        </w:tc>
      </w:tr>
      <w:tr w:rsidR="00C777B4" w:rsidTr="00C777B4">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rPr>
                <w:rFonts w:ascii="Calibri" w:hAnsi="Calibri"/>
              </w:rPr>
              <w:t>£5,618,160</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rPr>
                <w:rFonts w:ascii="Calibri" w:hAnsi="Calibri"/>
              </w:rPr>
              <w:t>£8,025,044</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pPr>
              <w:rPr>
                <w:color w:val="FF0000"/>
              </w:rPr>
            </w:pPr>
            <w:r>
              <w:rPr>
                <w:rFonts w:ascii="Calibri" w:hAnsi="Calibri"/>
                <w:color w:val="FF0000"/>
              </w:rPr>
              <w:t>-£2,406,884 (43%)</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rPr>
                <w:rFonts w:ascii="Calibri" w:hAnsi="Calibri"/>
              </w:rPr>
              <w:t>£9,752,960</w:t>
            </w:r>
          </w:p>
        </w:tc>
        <w:tc>
          <w:tcPr>
            <w:tcW w:w="1872" w:type="dxa"/>
            <w:tcBorders>
              <w:top w:val="single" w:sz="4" w:space="0" w:color="auto"/>
              <w:left w:val="single" w:sz="4" w:space="0" w:color="auto"/>
              <w:bottom w:val="single" w:sz="4" w:space="0" w:color="auto"/>
              <w:right w:val="single" w:sz="4" w:space="0" w:color="auto"/>
            </w:tcBorders>
            <w:hideMark/>
          </w:tcPr>
          <w:p w:rsidR="00C777B4" w:rsidRDefault="00C777B4">
            <w:pPr>
              <w:rPr>
                <w:color w:val="FF0000"/>
              </w:rPr>
            </w:pPr>
            <w:r>
              <w:rPr>
                <w:rFonts w:ascii="Calibri" w:hAnsi="Calibri"/>
                <w:color w:val="FF0000"/>
              </w:rPr>
              <w:t>-£4,134,800 (74%)</w:t>
            </w:r>
          </w:p>
        </w:tc>
      </w:tr>
    </w:tbl>
    <w:p w:rsidR="00C777B4" w:rsidRPr="00C777B4" w:rsidRDefault="00C777B4" w:rsidP="00C777B4">
      <w:pPr>
        <w:spacing w:after="0"/>
        <w:jc w:val="both"/>
      </w:pPr>
    </w:p>
    <w:p w:rsidR="008201BF" w:rsidRDefault="008201BF" w:rsidP="00C777B4">
      <w:pPr>
        <w:spacing w:after="0"/>
        <w:jc w:val="both"/>
        <w:rPr>
          <w:b/>
        </w:rPr>
      </w:pPr>
    </w:p>
    <w:p w:rsidR="00566815" w:rsidRPr="00C777B4" w:rsidRDefault="00566815" w:rsidP="00C777B4">
      <w:pPr>
        <w:spacing w:after="0"/>
        <w:jc w:val="both"/>
        <w:rPr>
          <w:b/>
        </w:rPr>
      </w:pPr>
      <w:r w:rsidRPr="00C777B4">
        <w:rPr>
          <w:b/>
        </w:rPr>
        <w:t>Worthing East and Shoreham – Tim Loughton MP</w:t>
      </w:r>
    </w:p>
    <w:p w:rsidR="00566815" w:rsidRPr="00C777B4" w:rsidRDefault="00566815" w:rsidP="00C777B4">
      <w:pPr>
        <w:spacing w:after="0"/>
        <w:jc w:val="both"/>
      </w:pPr>
    </w:p>
    <w:tbl>
      <w:tblPr>
        <w:tblStyle w:val="TableGrid"/>
        <w:tblW w:w="9356" w:type="dxa"/>
        <w:tblInd w:w="-5" w:type="dxa"/>
        <w:tblLook w:val="04A0" w:firstRow="1" w:lastRow="0" w:firstColumn="1" w:lastColumn="0" w:noHBand="0" w:noVBand="1"/>
      </w:tblPr>
      <w:tblGrid>
        <w:gridCol w:w="1871"/>
        <w:gridCol w:w="1871"/>
        <w:gridCol w:w="1871"/>
        <w:gridCol w:w="1871"/>
        <w:gridCol w:w="1872"/>
      </w:tblGrid>
      <w:tr w:rsidR="00C777B4" w:rsidTr="00C777B4">
        <w:tc>
          <w:tcPr>
            <w:tcW w:w="1871" w:type="dxa"/>
            <w:tcBorders>
              <w:top w:val="single" w:sz="4" w:space="0" w:color="auto"/>
              <w:left w:val="single" w:sz="4" w:space="0" w:color="auto"/>
              <w:bottom w:val="single" w:sz="4" w:space="0" w:color="auto"/>
              <w:right w:val="single" w:sz="4" w:space="0" w:color="auto"/>
            </w:tcBorders>
            <w:hideMark/>
          </w:tcPr>
          <w:p w:rsidR="00C777B4" w:rsidRDefault="00C777B4">
            <w:pPr>
              <w:rPr>
                <w:b/>
              </w:rPr>
            </w:pPr>
            <w:r>
              <w:rPr>
                <w:b/>
              </w:rPr>
              <w:t>Davison</w:t>
            </w:r>
          </w:p>
          <w:p w:rsidR="00C777B4" w:rsidRDefault="00C777B4">
            <w:r>
              <w:t>(1176 students)</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 xml:space="preserve">Greenwich </w:t>
            </w:r>
          </w:p>
          <w:p w:rsidR="00C777B4" w:rsidRDefault="00C777B4">
            <w:r>
              <w:t>(1176 students)</w:t>
            </w:r>
          </w:p>
        </w:tc>
        <w:tc>
          <w:tcPr>
            <w:tcW w:w="1871" w:type="dxa"/>
            <w:tcBorders>
              <w:top w:val="single" w:sz="4" w:space="0" w:color="auto"/>
              <w:left w:val="single" w:sz="4" w:space="0" w:color="auto"/>
              <w:bottom w:val="single" w:sz="4" w:space="0" w:color="auto"/>
              <w:right w:val="single" w:sz="4" w:space="0" w:color="auto"/>
            </w:tcBorders>
            <w:vAlign w:val="center"/>
            <w:hideMark/>
          </w:tcPr>
          <w:p w:rsidR="00C777B4" w:rsidRDefault="00C777B4">
            <w:r>
              <w:t xml:space="preserve">Difference  </w:t>
            </w:r>
          </w:p>
        </w:tc>
        <w:tc>
          <w:tcPr>
            <w:tcW w:w="1871" w:type="dxa"/>
            <w:tcBorders>
              <w:top w:val="single" w:sz="4" w:space="0" w:color="auto"/>
              <w:left w:val="single" w:sz="4" w:space="0" w:color="auto"/>
              <w:bottom w:val="single" w:sz="4" w:space="0" w:color="auto"/>
              <w:right w:val="single" w:sz="4" w:space="0" w:color="auto"/>
            </w:tcBorders>
            <w:vAlign w:val="center"/>
            <w:hideMark/>
          </w:tcPr>
          <w:p w:rsidR="00C777B4" w:rsidRDefault="00C777B4">
            <w:r>
              <w:t>Hackney</w:t>
            </w:r>
          </w:p>
          <w:p w:rsidR="00C777B4" w:rsidRDefault="00C777B4">
            <w:r>
              <w:t>(1176 students)</w:t>
            </w:r>
          </w:p>
        </w:tc>
        <w:tc>
          <w:tcPr>
            <w:tcW w:w="1872" w:type="dxa"/>
            <w:tcBorders>
              <w:top w:val="single" w:sz="4" w:space="0" w:color="auto"/>
              <w:left w:val="single" w:sz="4" w:space="0" w:color="auto"/>
              <w:bottom w:val="single" w:sz="4" w:space="0" w:color="auto"/>
              <w:right w:val="single" w:sz="4" w:space="0" w:color="auto"/>
            </w:tcBorders>
            <w:vAlign w:val="center"/>
            <w:hideMark/>
          </w:tcPr>
          <w:p w:rsidR="00C777B4" w:rsidRDefault="00C777B4">
            <w:r>
              <w:t>Difference</w:t>
            </w:r>
          </w:p>
        </w:tc>
      </w:tr>
      <w:tr w:rsidR="00C777B4" w:rsidTr="00C777B4">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rPr>
                <w:rFonts w:ascii="Calibri" w:hAnsi="Calibri"/>
              </w:rPr>
              <w:t>£5,426,175</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rPr>
                <w:rFonts w:ascii="Calibri" w:hAnsi="Calibri"/>
              </w:rPr>
              <w:t>£7,586,376</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pPr>
              <w:rPr>
                <w:color w:val="FF0000"/>
              </w:rPr>
            </w:pPr>
            <w:r>
              <w:rPr>
                <w:rFonts w:ascii="Calibri" w:hAnsi="Calibri"/>
                <w:color w:val="FF0000"/>
              </w:rPr>
              <w:t>-£2,160,201 (40%)</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£9,219,840</w:t>
            </w:r>
          </w:p>
        </w:tc>
        <w:tc>
          <w:tcPr>
            <w:tcW w:w="1872" w:type="dxa"/>
            <w:tcBorders>
              <w:top w:val="single" w:sz="4" w:space="0" w:color="auto"/>
              <w:left w:val="single" w:sz="4" w:space="0" w:color="auto"/>
              <w:bottom w:val="single" w:sz="4" w:space="0" w:color="auto"/>
              <w:right w:val="single" w:sz="4" w:space="0" w:color="auto"/>
            </w:tcBorders>
            <w:hideMark/>
          </w:tcPr>
          <w:p w:rsidR="00C777B4" w:rsidRDefault="00C777B4">
            <w:pPr>
              <w:rPr>
                <w:color w:val="FF0000"/>
              </w:rPr>
            </w:pPr>
            <w:r>
              <w:rPr>
                <w:color w:val="FF0000"/>
              </w:rPr>
              <w:t>-£3,793,665 (70%)</w:t>
            </w:r>
          </w:p>
        </w:tc>
      </w:tr>
    </w:tbl>
    <w:p w:rsidR="00566815" w:rsidRDefault="00566815" w:rsidP="00C777B4">
      <w:pPr>
        <w:spacing w:after="0"/>
        <w:jc w:val="both"/>
      </w:pPr>
    </w:p>
    <w:tbl>
      <w:tblPr>
        <w:tblStyle w:val="TableGrid"/>
        <w:tblW w:w="9356" w:type="dxa"/>
        <w:tblInd w:w="-5" w:type="dxa"/>
        <w:tblLook w:val="04A0" w:firstRow="1" w:lastRow="0" w:firstColumn="1" w:lastColumn="0" w:noHBand="0" w:noVBand="1"/>
      </w:tblPr>
      <w:tblGrid>
        <w:gridCol w:w="1871"/>
        <w:gridCol w:w="1871"/>
        <w:gridCol w:w="1871"/>
        <w:gridCol w:w="1871"/>
        <w:gridCol w:w="1872"/>
      </w:tblGrid>
      <w:tr w:rsidR="00E32109" w:rsidTr="00374573">
        <w:tc>
          <w:tcPr>
            <w:tcW w:w="1871" w:type="dxa"/>
            <w:tcBorders>
              <w:top w:val="single" w:sz="4" w:space="0" w:color="auto"/>
              <w:left w:val="single" w:sz="4" w:space="0" w:color="auto"/>
              <w:bottom w:val="single" w:sz="4" w:space="0" w:color="auto"/>
              <w:right w:val="single" w:sz="4" w:space="0" w:color="auto"/>
            </w:tcBorders>
            <w:hideMark/>
          </w:tcPr>
          <w:p w:rsidR="00E32109" w:rsidRDefault="00E32109" w:rsidP="00374573">
            <w:pPr>
              <w:rPr>
                <w:b/>
              </w:rPr>
            </w:pPr>
            <w:r>
              <w:rPr>
                <w:b/>
              </w:rPr>
              <w:t xml:space="preserve">Swiss Gardens </w:t>
            </w:r>
          </w:p>
          <w:p w:rsidR="00E32109" w:rsidRDefault="00E32109" w:rsidP="00E32109">
            <w:r>
              <w:t>(432 students)</w:t>
            </w:r>
          </w:p>
        </w:tc>
        <w:tc>
          <w:tcPr>
            <w:tcW w:w="1871" w:type="dxa"/>
            <w:tcBorders>
              <w:top w:val="single" w:sz="4" w:space="0" w:color="auto"/>
              <w:left w:val="single" w:sz="4" w:space="0" w:color="auto"/>
              <w:bottom w:val="single" w:sz="4" w:space="0" w:color="auto"/>
              <w:right w:val="single" w:sz="4" w:space="0" w:color="auto"/>
            </w:tcBorders>
            <w:hideMark/>
          </w:tcPr>
          <w:p w:rsidR="00E32109" w:rsidRDefault="00E32109" w:rsidP="00374573">
            <w:r>
              <w:t xml:space="preserve">Greenwich </w:t>
            </w:r>
          </w:p>
          <w:p w:rsidR="00E32109" w:rsidRDefault="00E32109" w:rsidP="00E32109">
            <w:r>
              <w:t>(432 students)</w:t>
            </w:r>
          </w:p>
        </w:tc>
        <w:tc>
          <w:tcPr>
            <w:tcW w:w="1871" w:type="dxa"/>
            <w:tcBorders>
              <w:top w:val="single" w:sz="4" w:space="0" w:color="auto"/>
              <w:left w:val="single" w:sz="4" w:space="0" w:color="auto"/>
              <w:bottom w:val="single" w:sz="4" w:space="0" w:color="auto"/>
              <w:right w:val="single" w:sz="4" w:space="0" w:color="auto"/>
            </w:tcBorders>
            <w:vAlign w:val="center"/>
            <w:hideMark/>
          </w:tcPr>
          <w:p w:rsidR="00E32109" w:rsidRDefault="00E32109" w:rsidP="00374573">
            <w:r>
              <w:t xml:space="preserve">Difference  </w:t>
            </w:r>
          </w:p>
        </w:tc>
        <w:tc>
          <w:tcPr>
            <w:tcW w:w="1871" w:type="dxa"/>
            <w:tcBorders>
              <w:top w:val="single" w:sz="4" w:space="0" w:color="auto"/>
              <w:left w:val="single" w:sz="4" w:space="0" w:color="auto"/>
              <w:bottom w:val="single" w:sz="4" w:space="0" w:color="auto"/>
              <w:right w:val="single" w:sz="4" w:space="0" w:color="auto"/>
            </w:tcBorders>
            <w:vAlign w:val="center"/>
            <w:hideMark/>
          </w:tcPr>
          <w:p w:rsidR="00E32109" w:rsidRDefault="00E32109" w:rsidP="00374573">
            <w:r>
              <w:t>Hackney</w:t>
            </w:r>
          </w:p>
          <w:p w:rsidR="00E32109" w:rsidRDefault="00E32109" w:rsidP="00E32109">
            <w:r>
              <w:t>(432 students)</w:t>
            </w:r>
          </w:p>
        </w:tc>
        <w:tc>
          <w:tcPr>
            <w:tcW w:w="1872" w:type="dxa"/>
            <w:tcBorders>
              <w:top w:val="single" w:sz="4" w:space="0" w:color="auto"/>
              <w:left w:val="single" w:sz="4" w:space="0" w:color="auto"/>
              <w:bottom w:val="single" w:sz="4" w:space="0" w:color="auto"/>
              <w:right w:val="single" w:sz="4" w:space="0" w:color="auto"/>
            </w:tcBorders>
            <w:vAlign w:val="center"/>
            <w:hideMark/>
          </w:tcPr>
          <w:p w:rsidR="00E32109" w:rsidRDefault="00E32109" w:rsidP="00374573">
            <w:r>
              <w:t>Difference</w:t>
            </w:r>
          </w:p>
        </w:tc>
      </w:tr>
      <w:tr w:rsidR="00E32109" w:rsidTr="00E32109">
        <w:tc>
          <w:tcPr>
            <w:tcW w:w="1871" w:type="dxa"/>
            <w:tcBorders>
              <w:top w:val="single" w:sz="4" w:space="0" w:color="auto"/>
              <w:left w:val="single" w:sz="4" w:space="0" w:color="auto"/>
              <w:bottom w:val="single" w:sz="4" w:space="0" w:color="auto"/>
              <w:right w:val="single" w:sz="4" w:space="0" w:color="auto"/>
            </w:tcBorders>
            <w:hideMark/>
          </w:tcPr>
          <w:p w:rsidR="00E32109" w:rsidRDefault="00E32109" w:rsidP="00E32109">
            <w:r>
              <w:rPr>
                <w:rFonts w:ascii="Calibri" w:hAnsi="Calibri"/>
              </w:rPr>
              <w:t>£1,489,000</w:t>
            </w:r>
          </w:p>
        </w:tc>
        <w:tc>
          <w:tcPr>
            <w:tcW w:w="1871" w:type="dxa"/>
            <w:tcBorders>
              <w:top w:val="single" w:sz="4" w:space="0" w:color="auto"/>
              <w:left w:val="single" w:sz="4" w:space="0" w:color="auto"/>
              <w:bottom w:val="single" w:sz="4" w:space="0" w:color="auto"/>
              <w:right w:val="single" w:sz="4" w:space="0" w:color="auto"/>
            </w:tcBorders>
          </w:tcPr>
          <w:p w:rsidR="00E32109" w:rsidRDefault="00E32109" w:rsidP="00374573">
            <w:r>
              <w:t>£2,115,936</w:t>
            </w:r>
          </w:p>
        </w:tc>
        <w:tc>
          <w:tcPr>
            <w:tcW w:w="1871" w:type="dxa"/>
            <w:tcBorders>
              <w:top w:val="single" w:sz="4" w:space="0" w:color="auto"/>
              <w:left w:val="single" w:sz="4" w:space="0" w:color="auto"/>
              <w:bottom w:val="single" w:sz="4" w:space="0" w:color="auto"/>
              <w:right w:val="single" w:sz="4" w:space="0" w:color="auto"/>
            </w:tcBorders>
          </w:tcPr>
          <w:p w:rsidR="00E32109" w:rsidRDefault="00E32109" w:rsidP="00374573">
            <w:pPr>
              <w:rPr>
                <w:color w:val="FF0000"/>
              </w:rPr>
            </w:pPr>
            <w:r>
              <w:rPr>
                <w:color w:val="FF0000"/>
              </w:rPr>
              <w:t>-£626,936 (42%)</w:t>
            </w:r>
          </w:p>
        </w:tc>
        <w:tc>
          <w:tcPr>
            <w:tcW w:w="1871" w:type="dxa"/>
            <w:tcBorders>
              <w:top w:val="single" w:sz="4" w:space="0" w:color="auto"/>
              <w:left w:val="single" w:sz="4" w:space="0" w:color="auto"/>
              <w:bottom w:val="single" w:sz="4" w:space="0" w:color="auto"/>
              <w:right w:val="single" w:sz="4" w:space="0" w:color="auto"/>
            </w:tcBorders>
          </w:tcPr>
          <w:p w:rsidR="00E32109" w:rsidRDefault="00E32109" w:rsidP="00374573">
            <w:r>
              <w:t>£2,543,184</w:t>
            </w:r>
          </w:p>
        </w:tc>
        <w:tc>
          <w:tcPr>
            <w:tcW w:w="1872" w:type="dxa"/>
            <w:tcBorders>
              <w:top w:val="single" w:sz="4" w:space="0" w:color="auto"/>
              <w:left w:val="single" w:sz="4" w:space="0" w:color="auto"/>
              <w:bottom w:val="single" w:sz="4" w:space="0" w:color="auto"/>
              <w:right w:val="single" w:sz="4" w:space="0" w:color="auto"/>
            </w:tcBorders>
          </w:tcPr>
          <w:p w:rsidR="00E32109" w:rsidRDefault="00E32109" w:rsidP="00374573">
            <w:pPr>
              <w:rPr>
                <w:color w:val="FF0000"/>
              </w:rPr>
            </w:pPr>
            <w:r>
              <w:rPr>
                <w:color w:val="FF0000"/>
              </w:rPr>
              <w:t>-£1,054,184 (71%)</w:t>
            </w:r>
          </w:p>
        </w:tc>
      </w:tr>
    </w:tbl>
    <w:p w:rsidR="00E32109" w:rsidRDefault="00E32109" w:rsidP="00C777B4">
      <w:pPr>
        <w:spacing w:after="0"/>
        <w:jc w:val="both"/>
      </w:pPr>
    </w:p>
    <w:tbl>
      <w:tblPr>
        <w:tblStyle w:val="TableGrid"/>
        <w:tblW w:w="9356" w:type="dxa"/>
        <w:tblInd w:w="-5" w:type="dxa"/>
        <w:tblLook w:val="04A0" w:firstRow="1" w:lastRow="0" w:firstColumn="1" w:lastColumn="0" w:noHBand="0" w:noVBand="1"/>
      </w:tblPr>
      <w:tblGrid>
        <w:gridCol w:w="1985"/>
        <w:gridCol w:w="1757"/>
        <w:gridCol w:w="1871"/>
        <w:gridCol w:w="1871"/>
        <w:gridCol w:w="1872"/>
      </w:tblGrid>
      <w:tr w:rsidR="00C777B4" w:rsidTr="00C777B4">
        <w:tc>
          <w:tcPr>
            <w:tcW w:w="1985" w:type="dxa"/>
            <w:tcBorders>
              <w:top w:val="single" w:sz="4" w:space="0" w:color="auto"/>
              <w:left w:val="single" w:sz="4" w:space="0" w:color="auto"/>
              <w:bottom w:val="single" w:sz="4" w:space="0" w:color="auto"/>
              <w:right w:val="single" w:sz="4" w:space="0" w:color="auto"/>
            </w:tcBorders>
            <w:hideMark/>
          </w:tcPr>
          <w:p w:rsidR="00C777B4" w:rsidRDefault="00C777B4">
            <w:r>
              <w:rPr>
                <w:b/>
              </w:rPr>
              <w:t xml:space="preserve">Sir Robert Woodard Academy  </w:t>
            </w:r>
            <w:r>
              <w:t>(884 students)</w:t>
            </w:r>
          </w:p>
        </w:tc>
        <w:tc>
          <w:tcPr>
            <w:tcW w:w="1757" w:type="dxa"/>
            <w:tcBorders>
              <w:top w:val="single" w:sz="4" w:space="0" w:color="auto"/>
              <w:left w:val="single" w:sz="4" w:space="0" w:color="auto"/>
              <w:bottom w:val="single" w:sz="4" w:space="0" w:color="auto"/>
              <w:right w:val="single" w:sz="4" w:space="0" w:color="auto"/>
            </w:tcBorders>
            <w:hideMark/>
          </w:tcPr>
          <w:p w:rsidR="00C777B4" w:rsidRDefault="00C777B4">
            <w:r>
              <w:t xml:space="preserve">Greenwich </w:t>
            </w:r>
          </w:p>
          <w:p w:rsidR="00C777B4" w:rsidRDefault="00C777B4">
            <w:r>
              <w:t>(884 students)</w:t>
            </w:r>
          </w:p>
        </w:tc>
        <w:tc>
          <w:tcPr>
            <w:tcW w:w="1871" w:type="dxa"/>
            <w:tcBorders>
              <w:top w:val="single" w:sz="4" w:space="0" w:color="auto"/>
              <w:left w:val="single" w:sz="4" w:space="0" w:color="auto"/>
              <w:bottom w:val="single" w:sz="4" w:space="0" w:color="auto"/>
              <w:right w:val="single" w:sz="4" w:space="0" w:color="auto"/>
            </w:tcBorders>
            <w:vAlign w:val="center"/>
            <w:hideMark/>
          </w:tcPr>
          <w:p w:rsidR="00C777B4" w:rsidRDefault="00C777B4">
            <w:r>
              <w:t xml:space="preserve">Difference  </w:t>
            </w:r>
          </w:p>
        </w:tc>
        <w:tc>
          <w:tcPr>
            <w:tcW w:w="1871" w:type="dxa"/>
            <w:tcBorders>
              <w:top w:val="single" w:sz="4" w:space="0" w:color="auto"/>
              <w:left w:val="single" w:sz="4" w:space="0" w:color="auto"/>
              <w:bottom w:val="single" w:sz="4" w:space="0" w:color="auto"/>
              <w:right w:val="single" w:sz="4" w:space="0" w:color="auto"/>
            </w:tcBorders>
            <w:vAlign w:val="center"/>
            <w:hideMark/>
          </w:tcPr>
          <w:p w:rsidR="00C777B4" w:rsidRDefault="00C777B4">
            <w:r>
              <w:t>Hackney</w:t>
            </w:r>
          </w:p>
          <w:p w:rsidR="00C777B4" w:rsidRDefault="00C777B4">
            <w:r>
              <w:t>(884 students)</w:t>
            </w:r>
          </w:p>
        </w:tc>
        <w:tc>
          <w:tcPr>
            <w:tcW w:w="1872" w:type="dxa"/>
            <w:tcBorders>
              <w:top w:val="single" w:sz="4" w:space="0" w:color="auto"/>
              <w:left w:val="single" w:sz="4" w:space="0" w:color="auto"/>
              <w:bottom w:val="single" w:sz="4" w:space="0" w:color="auto"/>
              <w:right w:val="single" w:sz="4" w:space="0" w:color="auto"/>
            </w:tcBorders>
            <w:vAlign w:val="center"/>
            <w:hideMark/>
          </w:tcPr>
          <w:p w:rsidR="00C777B4" w:rsidRDefault="00C777B4">
            <w:r>
              <w:t>Difference</w:t>
            </w:r>
          </w:p>
        </w:tc>
      </w:tr>
      <w:tr w:rsidR="00C777B4" w:rsidTr="00C777B4">
        <w:tc>
          <w:tcPr>
            <w:tcW w:w="1985" w:type="dxa"/>
            <w:tcBorders>
              <w:top w:val="single" w:sz="4" w:space="0" w:color="auto"/>
              <w:left w:val="single" w:sz="4" w:space="0" w:color="auto"/>
              <w:bottom w:val="single" w:sz="4" w:space="0" w:color="auto"/>
              <w:right w:val="single" w:sz="4" w:space="0" w:color="auto"/>
            </w:tcBorders>
            <w:hideMark/>
          </w:tcPr>
          <w:p w:rsidR="00C777B4" w:rsidRDefault="00C777B4">
            <w:r>
              <w:t>£4,399,428</w:t>
            </w:r>
          </w:p>
        </w:tc>
        <w:tc>
          <w:tcPr>
            <w:tcW w:w="1757" w:type="dxa"/>
            <w:tcBorders>
              <w:top w:val="single" w:sz="4" w:space="0" w:color="auto"/>
              <w:left w:val="single" w:sz="4" w:space="0" w:color="auto"/>
              <w:bottom w:val="single" w:sz="4" w:space="0" w:color="auto"/>
              <w:right w:val="single" w:sz="4" w:space="0" w:color="auto"/>
            </w:tcBorders>
            <w:hideMark/>
          </w:tcPr>
          <w:p w:rsidR="00C777B4" w:rsidRDefault="00C777B4">
            <w:r>
              <w:t>£5,702,684</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pPr>
              <w:rPr>
                <w:color w:val="FF0000"/>
              </w:rPr>
            </w:pPr>
            <w:r>
              <w:rPr>
                <w:color w:val="FF0000"/>
              </w:rPr>
              <w:t>-£1,303,256 (30%)</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£6,930,560</w:t>
            </w:r>
          </w:p>
        </w:tc>
        <w:tc>
          <w:tcPr>
            <w:tcW w:w="1872" w:type="dxa"/>
            <w:tcBorders>
              <w:top w:val="single" w:sz="4" w:space="0" w:color="auto"/>
              <w:left w:val="single" w:sz="4" w:space="0" w:color="auto"/>
              <w:bottom w:val="single" w:sz="4" w:space="0" w:color="auto"/>
              <w:right w:val="single" w:sz="4" w:space="0" w:color="auto"/>
            </w:tcBorders>
            <w:hideMark/>
          </w:tcPr>
          <w:p w:rsidR="00C777B4" w:rsidRDefault="00C777B4">
            <w:pPr>
              <w:rPr>
                <w:color w:val="FF0000"/>
              </w:rPr>
            </w:pPr>
            <w:r>
              <w:rPr>
                <w:color w:val="FF0000"/>
              </w:rPr>
              <w:t>-£2,531,132 (58%)</w:t>
            </w:r>
          </w:p>
        </w:tc>
      </w:tr>
    </w:tbl>
    <w:p w:rsidR="00C777B4" w:rsidRDefault="00C777B4" w:rsidP="00C777B4">
      <w:pPr>
        <w:spacing w:after="0"/>
        <w:jc w:val="both"/>
      </w:pPr>
    </w:p>
    <w:tbl>
      <w:tblPr>
        <w:tblStyle w:val="TableGrid"/>
        <w:tblW w:w="9356" w:type="dxa"/>
        <w:tblInd w:w="-5" w:type="dxa"/>
        <w:tblLook w:val="04A0" w:firstRow="1" w:lastRow="0" w:firstColumn="1" w:lastColumn="0" w:noHBand="0" w:noVBand="1"/>
      </w:tblPr>
      <w:tblGrid>
        <w:gridCol w:w="1871"/>
        <w:gridCol w:w="1871"/>
        <w:gridCol w:w="1871"/>
        <w:gridCol w:w="1871"/>
        <w:gridCol w:w="1872"/>
      </w:tblGrid>
      <w:tr w:rsidR="000B1BCA" w:rsidTr="001B7872">
        <w:tc>
          <w:tcPr>
            <w:tcW w:w="1871" w:type="dxa"/>
            <w:tcBorders>
              <w:top w:val="single" w:sz="4" w:space="0" w:color="auto"/>
              <w:left w:val="single" w:sz="4" w:space="0" w:color="auto"/>
              <w:bottom w:val="single" w:sz="4" w:space="0" w:color="auto"/>
              <w:right w:val="single" w:sz="4" w:space="0" w:color="auto"/>
            </w:tcBorders>
            <w:hideMark/>
          </w:tcPr>
          <w:p w:rsidR="000B1BCA" w:rsidRDefault="000B1BCA" w:rsidP="001B7872">
            <w:pPr>
              <w:rPr>
                <w:b/>
              </w:rPr>
            </w:pPr>
            <w:r>
              <w:rPr>
                <w:b/>
              </w:rPr>
              <w:lastRenderedPageBreak/>
              <w:t>Worthing High School</w:t>
            </w:r>
          </w:p>
          <w:p w:rsidR="000B1BCA" w:rsidRDefault="000B1BCA" w:rsidP="001B7872">
            <w:r>
              <w:t>(912 students)</w:t>
            </w:r>
          </w:p>
        </w:tc>
        <w:tc>
          <w:tcPr>
            <w:tcW w:w="1871" w:type="dxa"/>
            <w:tcBorders>
              <w:top w:val="single" w:sz="4" w:space="0" w:color="auto"/>
              <w:left w:val="single" w:sz="4" w:space="0" w:color="auto"/>
              <w:bottom w:val="single" w:sz="4" w:space="0" w:color="auto"/>
              <w:right w:val="single" w:sz="4" w:space="0" w:color="auto"/>
            </w:tcBorders>
            <w:hideMark/>
          </w:tcPr>
          <w:p w:rsidR="000B1BCA" w:rsidRDefault="000B1BCA" w:rsidP="001B7872">
            <w:r>
              <w:t xml:space="preserve">Greenwich </w:t>
            </w:r>
          </w:p>
          <w:p w:rsidR="000B1BCA" w:rsidRDefault="000B1BCA" w:rsidP="001B7872">
            <w:r>
              <w:t>(912 students)</w:t>
            </w:r>
          </w:p>
        </w:tc>
        <w:tc>
          <w:tcPr>
            <w:tcW w:w="1871" w:type="dxa"/>
            <w:tcBorders>
              <w:top w:val="single" w:sz="4" w:space="0" w:color="auto"/>
              <w:left w:val="single" w:sz="4" w:space="0" w:color="auto"/>
              <w:bottom w:val="single" w:sz="4" w:space="0" w:color="auto"/>
              <w:right w:val="single" w:sz="4" w:space="0" w:color="auto"/>
            </w:tcBorders>
            <w:vAlign w:val="center"/>
            <w:hideMark/>
          </w:tcPr>
          <w:p w:rsidR="000B1BCA" w:rsidRDefault="000B1BCA" w:rsidP="001B7872">
            <w:r>
              <w:t xml:space="preserve">Difference  </w:t>
            </w:r>
          </w:p>
        </w:tc>
        <w:tc>
          <w:tcPr>
            <w:tcW w:w="1871" w:type="dxa"/>
            <w:tcBorders>
              <w:top w:val="single" w:sz="4" w:space="0" w:color="auto"/>
              <w:left w:val="single" w:sz="4" w:space="0" w:color="auto"/>
              <w:bottom w:val="single" w:sz="4" w:space="0" w:color="auto"/>
              <w:right w:val="single" w:sz="4" w:space="0" w:color="auto"/>
            </w:tcBorders>
            <w:vAlign w:val="center"/>
            <w:hideMark/>
          </w:tcPr>
          <w:p w:rsidR="000B1BCA" w:rsidRDefault="000B1BCA" w:rsidP="001B7872">
            <w:r>
              <w:t>Hackney</w:t>
            </w:r>
          </w:p>
          <w:p w:rsidR="000B1BCA" w:rsidRDefault="000B1BCA" w:rsidP="001B7872">
            <w:r>
              <w:t>(912 students)</w:t>
            </w:r>
          </w:p>
        </w:tc>
        <w:tc>
          <w:tcPr>
            <w:tcW w:w="1872" w:type="dxa"/>
            <w:tcBorders>
              <w:top w:val="single" w:sz="4" w:space="0" w:color="auto"/>
              <w:left w:val="single" w:sz="4" w:space="0" w:color="auto"/>
              <w:bottom w:val="single" w:sz="4" w:space="0" w:color="auto"/>
              <w:right w:val="single" w:sz="4" w:space="0" w:color="auto"/>
            </w:tcBorders>
            <w:vAlign w:val="center"/>
            <w:hideMark/>
          </w:tcPr>
          <w:p w:rsidR="000B1BCA" w:rsidRDefault="000B1BCA" w:rsidP="001B7872">
            <w:r>
              <w:t>Difference</w:t>
            </w:r>
          </w:p>
        </w:tc>
      </w:tr>
      <w:tr w:rsidR="000B1BCA" w:rsidTr="001B7872">
        <w:tc>
          <w:tcPr>
            <w:tcW w:w="1871" w:type="dxa"/>
            <w:tcBorders>
              <w:top w:val="single" w:sz="4" w:space="0" w:color="auto"/>
              <w:left w:val="single" w:sz="4" w:space="0" w:color="auto"/>
              <w:bottom w:val="single" w:sz="4" w:space="0" w:color="auto"/>
              <w:right w:val="single" w:sz="4" w:space="0" w:color="auto"/>
            </w:tcBorders>
            <w:hideMark/>
          </w:tcPr>
          <w:p w:rsidR="000B1BCA" w:rsidRDefault="000B1BCA" w:rsidP="001B7872">
            <w:r>
              <w:t>£4,280,066</w:t>
            </w:r>
          </w:p>
        </w:tc>
        <w:tc>
          <w:tcPr>
            <w:tcW w:w="1871" w:type="dxa"/>
            <w:tcBorders>
              <w:top w:val="single" w:sz="4" w:space="0" w:color="auto"/>
              <w:left w:val="single" w:sz="4" w:space="0" w:color="auto"/>
              <w:bottom w:val="single" w:sz="4" w:space="0" w:color="auto"/>
              <w:right w:val="single" w:sz="4" w:space="0" w:color="auto"/>
            </w:tcBorders>
            <w:hideMark/>
          </w:tcPr>
          <w:p w:rsidR="000B1BCA" w:rsidRDefault="000B1BCA" w:rsidP="001B7872">
            <w:r>
              <w:t>£5,883,312</w:t>
            </w:r>
          </w:p>
        </w:tc>
        <w:tc>
          <w:tcPr>
            <w:tcW w:w="1871" w:type="dxa"/>
            <w:tcBorders>
              <w:top w:val="single" w:sz="4" w:space="0" w:color="auto"/>
              <w:left w:val="single" w:sz="4" w:space="0" w:color="auto"/>
              <w:bottom w:val="single" w:sz="4" w:space="0" w:color="auto"/>
              <w:right w:val="single" w:sz="4" w:space="0" w:color="auto"/>
            </w:tcBorders>
            <w:hideMark/>
          </w:tcPr>
          <w:p w:rsidR="000B1BCA" w:rsidRDefault="000B1BCA" w:rsidP="001B7872">
            <w:pPr>
              <w:rPr>
                <w:color w:val="FF0000"/>
              </w:rPr>
            </w:pPr>
            <w:r>
              <w:rPr>
                <w:color w:val="FF0000"/>
              </w:rPr>
              <w:t>-£1,603,246 (37%)</w:t>
            </w:r>
          </w:p>
        </w:tc>
        <w:tc>
          <w:tcPr>
            <w:tcW w:w="1871" w:type="dxa"/>
            <w:tcBorders>
              <w:top w:val="single" w:sz="4" w:space="0" w:color="auto"/>
              <w:left w:val="single" w:sz="4" w:space="0" w:color="auto"/>
              <w:bottom w:val="single" w:sz="4" w:space="0" w:color="auto"/>
              <w:right w:val="single" w:sz="4" w:space="0" w:color="auto"/>
            </w:tcBorders>
            <w:hideMark/>
          </w:tcPr>
          <w:p w:rsidR="000B1BCA" w:rsidRDefault="000B1BCA" w:rsidP="001B7872">
            <w:r>
              <w:t>£7,150,080</w:t>
            </w:r>
          </w:p>
        </w:tc>
        <w:tc>
          <w:tcPr>
            <w:tcW w:w="1872" w:type="dxa"/>
            <w:tcBorders>
              <w:top w:val="single" w:sz="4" w:space="0" w:color="auto"/>
              <w:left w:val="single" w:sz="4" w:space="0" w:color="auto"/>
              <w:bottom w:val="single" w:sz="4" w:space="0" w:color="auto"/>
              <w:right w:val="single" w:sz="4" w:space="0" w:color="auto"/>
            </w:tcBorders>
            <w:hideMark/>
          </w:tcPr>
          <w:p w:rsidR="000B1BCA" w:rsidRDefault="000B1BCA" w:rsidP="001B7872">
            <w:pPr>
              <w:rPr>
                <w:color w:val="FF0000"/>
              </w:rPr>
            </w:pPr>
            <w:r>
              <w:rPr>
                <w:color w:val="FF0000"/>
              </w:rPr>
              <w:t>-£2,870,014 (67%)</w:t>
            </w:r>
          </w:p>
        </w:tc>
      </w:tr>
    </w:tbl>
    <w:p w:rsidR="000B1BCA" w:rsidRDefault="000B1BCA" w:rsidP="00C777B4">
      <w:pPr>
        <w:spacing w:after="0"/>
        <w:jc w:val="both"/>
      </w:pPr>
    </w:p>
    <w:p w:rsidR="00566815" w:rsidRPr="00C777B4" w:rsidRDefault="00566815" w:rsidP="00C777B4">
      <w:pPr>
        <w:spacing w:after="0"/>
        <w:jc w:val="both"/>
        <w:rPr>
          <w:b/>
        </w:rPr>
      </w:pPr>
      <w:r w:rsidRPr="00C777B4">
        <w:rPr>
          <w:b/>
        </w:rPr>
        <w:t>Chichester – Gillian Keegan MP</w:t>
      </w:r>
    </w:p>
    <w:p w:rsidR="00566815" w:rsidRPr="00C777B4" w:rsidRDefault="00566815" w:rsidP="00C777B4">
      <w:pPr>
        <w:spacing w:after="0"/>
        <w:jc w:val="both"/>
      </w:pPr>
    </w:p>
    <w:tbl>
      <w:tblPr>
        <w:tblStyle w:val="TableGrid"/>
        <w:tblW w:w="9356" w:type="dxa"/>
        <w:tblInd w:w="-5" w:type="dxa"/>
        <w:tblLook w:val="04A0" w:firstRow="1" w:lastRow="0" w:firstColumn="1" w:lastColumn="0" w:noHBand="0" w:noVBand="1"/>
      </w:tblPr>
      <w:tblGrid>
        <w:gridCol w:w="1871"/>
        <w:gridCol w:w="1871"/>
        <w:gridCol w:w="1871"/>
        <w:gridCol w:w="1871"/>
        <w:gridCol w:w="1872"/>
      </w:tblGrid>
      <w:tr w:rsidR="00C777B4" w:rsidTr="00C777B4">
        <w:tc>
          <w:tcPr>
            <w:tcW w:w="1871" w:type="dxa"/>
            <w:tcBorders>
              <w:top w:val="single" w:sz="4" w:space="0" w:color="auto"/>
              <w:left w:val="single" w:sz="4" w:space="0" w:color="auto"/>
              <w:bottom w:val="single" w:sz="4" w:space="0" w:color="auto"/>
              <w:right w:val="single" w:sz="4" w:space="0" w:color="auto"/>
            </w:tcBorders>
            <w:hideMark/>
          </w:tcPr>
          <w:p w:rsidR="00C777B4" w:rsidRDefault="00C777B4">
            <w:pPr>
              <w:rPr>
                <w:b/>
              </w:rPr>
            </w:pPr>
            <w:r>
              <w:rPr>
                <w:b/>
              </w:rPr>
              <w:t>Bishop Luffa</w:t>
            </w:r>
          </w:p>
          <w:p w:rsidR="00C777B4" w:rsidRDefault="00C777B4">
            <w:r>
              <w:t>(1136 students)</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 xml:space="preserve">Greenwich </w:t>
            </w:r>
          </w:p>
          <w:p w:rsidR="00C777B4" w:rsidRDefault="00C777B4">
            <w:r>
              <w:t>(1136 students)</w:t>
            </w:r>
          </w:p>
        </w:tc>
        <w:tc>
          <w:tcPr>
            <w:tcW w:w="1871" w:type="dxa"/>
            <w:tcBorders>
              <w:top w:val="single" w:sz="4" w:space="0" w:color="auto"/>
              <w:left w:val="single" w:sz="4" w:space="0" w:color="auto"/>
              <w:bottom w:val="single" w:sz="4" w:space="0" w:color="auto"/>
              <w:right w:val="single" w:sz="4" w:space="0" w:color="auto"/>
            </w:tcBorders>
            <w:vAlign w:val="center"/>
            <w:hideMark/>
          </w:tcPr>
          <w:p w:rsidR="00C777B4" w:rsidRDefault="00C777B4">
            <w:r>
              <w:t xml:space="preserve">Difference  </w:t>
            </w:r>
          </w:p>
        </w:tc>
        <w:tc>
          <w:tcPr>
            <w:tcW w:w="1871" w:type="dxa"/>
            <w:tcBorders>
              <w:top w:val="single" w:sz="4" w:space="0" w:color="auto"/>
              <w:left w:val="single" w:sz="4" w:space="0" w:color="auto"/>
              <w:bottom w:val="single" w:sz="4" w:space="0" w:color="auto"/>
              <w:right w:val="single" w:sz="4" w:space="0" w:color="auto"/>
            </w:tcBorders>
            <w:vAlign w:val="center"/>
            <w:hideMark/>
          </w:tcPr>
          <w:p w:rsidR="00C777B4" w:rsidRDefault="00C777B4">
            <w:r>
              <w:t>Hackney</w:t>
            </w:r>
          </w:p>
          <w:p w:rsidR="00C777B4" w:rsidRDefault="00C777B4">
            <w:r>
              <w:t>(1136 students)</w:t>
            </w:r>
          </w:p>
        </w:tc>
        <w:tc>
          <w:tcPr>
            <w:tcW w:w="1872" w:type="dxa"/>
            <w:tcBorders>
              <w:top w:val="single" w:sz="4" w:space="0" w:color="auto"/>
              <w:left w:val="single" w:sz="4" w:space="0" w:color="auto"/>
              <w:bottom w:val="single" w:sz="4" w:space="0" w:color="auto"/>
              <w:right w:val="single" w:sz="4" w:space="0" w:color="auto"/>
            </w:tcBorders>
            <w:vAlign w:val="center"/>
            <w:hideMark/>
          </w:tcPr>
          <w:p w:rsidR="00C777B4" w:rsidRDefault="00C777B4">
            <w:r>
              <w:t>Difference</w:t>
            </w:r>
          </w:p>
        </w:tc>
      </w:tr>
      <w:tr w:rsidR="00C777B4" w:rsidTr="00C777B4">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£5,214,240</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£7,328,336</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pPr>
              <w:rPr>
                <w:color w:val="FF0000"/>
              </w:rPr>
            </w:pPr>
            <w:r>
              <w:rPr>
                <w:color w:val="FF0000"/>
              </w:rPr>
              <w:t>-£2,114,096 (41%)</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£8,906,240</w:t>
            </w:r>
          </w:p>
        </w:tc>
        <w:tc>
          <w:tcPr>
            <w:tcW w:w="1872" w:type="dxa"/>
            <w:tcBorders>
              <w:top w:val="single" w:sz="4" w:space="0" w:color="auto"/>
              <w:left w:val="single" w:sz="4" w:space="0" w:color="auto"/>
              <w:bottom w:val="single" w:sz="4" w:space="0" w:color="auto"/>
              <w:right w:val="single" w:sz="4" w:space="0" w:color="auto"/>
            </w:tcBorders>
            <w:hideMark/>
          </w:tcPr>
          <w:p w:rsidR="00C777B4" w:rsidRDefault="00C777B4">
            <w:pPr>
              <w:rPr>
                <w:color w:val="FF0000"/>
              </w:rPr>
            </w:pPr>
            <w:r>
              <w:rPr>
                <w:color w:val="FF0000"/>
              </w:rPr>
              <w:t>-£3,692,000 (71%)</w:t>
            </w:r>
          </w:p>
        </w:tc>
      </w:tr>
    </w:tbl>
    <w:p w:rsidR="00C777B4" w:rsidRDefault="00C777B4" w:rsidP="00C777B4">
      <w:pPr>
        <w:spacing w:after="0"/>
        <w:jc w:val="both"/>
      </w:pPr>
    </w:p>
    <w:tbl>
      <w:tblPr>
        <w:tblStyle w:val="TableGrid"/>
        <w:tblW w:w="9356" w:type="dxa"/>
        <w:tblInd w:w="-5" w:type="dxa"/>
        <w:tblLook w:val="04A0" w:firstRow="1" w:lastRow="0" w:firstColumn="1" w:lastColumn="0" w:noHBand="0" w:noVBand="1"/>
      </w:tblPr>
      <w:tblGrid>
        <w:gridCol w:w="1871"/>
        <w:gridCol w:w="1871"/>
        <w:gridCol w:w="1871"/>
        <w:gridCol w:w="1871"/>
        <w:gridCol w:w="1872"/>
      </w:tblGrid>
      <w:tr w:rsidR="00C777B4" w:rsidTr="00C777B4">
        <w:tc>
          <w:tcPr>
            <w:tcW w:w="1871" w:type="dxa"/>
            <w:tcBorders>
              <w:top w:val="single" w:sz="4" w:space="0" w:color="auto"/>
              <w:left w:val="single" w:sz="4" w:space="0" w:color="auto"/>
              <w:bottom w:val="single" w:sz="4" w:space="0" w:color="auto"/>
              <w:right w:val="single" w:sz="4" w:space="0" w:color="auto"/>
            </w:tcBorders>
            <w:hideMark/>
          </w:tcPr>
          <w:p w:rsidR="00C777B4" w:rsidRDefault="00C777B4">
            <w:pPr>
              <w:rPr>
                <w:b/>
              </w:rPr>
            </w:pPr>
            <w:r>
              <w:rPr>
                <w:b/>
              </w:rPr>
              <w:t>Chichester High School</w:t>
            </w:r>
          </w:p>
          <w:p w:rsidR="00C777B4" w:rsidRDefault="00C777B4">
            <w:r>
              <w:t>(1233 students)</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 xml:space="preserve">Greenwich </w:t>
            </w:r>
          </w:p>
          <w:p w:rsidR="00C777B4" w:rsidRDefault="00C777B4">
            <w:r>
              <w:t>(1233 students)</w:t>
            </w:r>
          </w:p>
        </w:tc>
        <w:tc>
          <w:tcPr>
            <w:tcW w:w="1871" w:type="dxa"/>
            <w:tcBorders>
              <w:top w:val="single" w:sz="4" w:space="0" w:color="auto"/>
              <w:left w:val="single" w:sz="4" w:space="0" w:color="auto"/>
              <w:bottom w:val="single" w:sz="4" w:space="0" w:color="auto"/>
              <w:right w:val="single" w:sz="4" w:space="0" w:color="auto"/>
            </w:tcBorders>
            <w:vAlign w:val="center"/>
            <w:hideMark/>
          </w:tcPr>
          <w:p w:rsidR="00C777B4" w:rsidRDefault="00C777B4">
            <w:r>
              <w:t xml:space="preserve">Difference  </w:t>
            </w:r>
          </w:p>
        </w:tc>
        <w:tc>
          <w:tcPr>
            <w:tcW w:w="1871" w:type="dxa"/>
            <w:tcBorders>
              <w:top w:val="single" w:sz="4" w:space="0" w:color="auto"/>
              <w:left w:val="single" w:sz="4" w:space="0" w:color="auto"/>
              <w:bottom w:val="single" w:sz="4" w:space="0" w:color="auto"/>
              <w:right w:val="single" w:sz="4" w:space="0" w:color="auto"/>
            </w:tcBorders>
            <w:vAlign w:val="center"/>
            <w:hideMark/>
          </w:tcPr>
          <w:p w:rsidR="00C777B4" w:rsidRDefault="00C777B4">
            <w:r>
              <w:t>Hackney</w:t>
            </w:r>
          </w:p>
          <w:p w:rsidR="00C777B4" w:rsidRDefault="00C777B4">
            <w:r>
              <w:t>(1233 students)</w:t>
            </w:r>
          </w:p>
        </w:tc>
        <w:tc>
          <w:tcPr>
            <w:tcW w:w="1872" w:type="dxa"/>
            <w:tcBorders>
              <w:top w:val="single" w:sz="4" w:space="0" w:color="auto"/>
              <w:left w:val="single" w:sz="4" w:space="0" w:color="auto"/>
              <w:bottom w:val="single" w:sz="4" w:space="0" w:color="auto"/>
              <w:right w:val="single" w:sz="4" w:space="0" w:color="auto"/>
            </w:tcBorders>
            <w:vAlign w:val="center"/>
            <w:hideMark/>
          </w:tcPr>
          <w:p w:rsidR="00C777B4" w:rsidRDefault="00C777B4">
            <w:r>
              <w:t>Difference</w:t>
            </w:r>
          </w:p>
        </w:tc>
      </w:tr>
      <w:tr w:rsidR="00C777B4" w:rsidTr="00C777B4">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£5,862,438</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£7,954,083</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pPr>
              <w:rPr>
                <w:color w:val="FF0000"/>
              </w:rPr>
            </w:pPr>
            <w:r>
              <w:rPr>
                <w:color w:val="FF0000"/>
              </w:rPr>
              <w:t>-£2,091,645 (36%)</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£9,666,720</w:t>
            </w:r>
          </w:p>
        </w:tc>
        <w:tc>
          <w:tcPr>
            <w:tcW w:w="1872" w:type="dxa"/>
            <w:tcBorders>
              <w:top w:val="single" w:sz="4" w:space="0" w:color="auto"/>
              <w:left w:val="single" w:sz="4" w:space="0" w:color="auto"/>
              <w:bottom w:val="single" w:sz="4" w:space="0" w:color="auto"/>
              <w:right w:val="single" w:sz="4" w:space="0" w:color="auto"/>
            </w:tcBorders>
            <w:hideMark/>
          </w:tcPr>
          <w:p w:rsidR="00C777B4" w:rsidRDefault="00C777B4">
            <w:pPr>
              <w:rPr>
                <w:color w:val="FF0000"/>
              </w:rPr>
            </w:pPr>
            <w:r>
              <w:rPr>
                <w:color w:val="FF0000"/>
              </w:rPr>
              <w:t>-£3,804,282 (65%)</w:t>
            </w:r>
          </w:p>
        </w:tc>
      </w:tr>
    </w:tbl>
    <w:p w:rsidR="00C777B4" w:rsidRDefault="00C777B4" w:rsidP="00C777B4">
      <w:pPr>
        <w:spacing w:after="0"/>
        <w:jc w:val="both"/>
      </w:pPr>
    </w:p>
    <w:p w:rsidR="00C777B4" w:rsidRDefault="00C777B4" w:rsidP="00C777B4">
      <w:pPr>
        <w:spacing w:after="0"/>
        <w:jc w:val="both"/>
      </w:pPr>
    </w:p>
    <w:p w:rsidR="00566815" w:rsidRPr="00C777B4" w:rsidRDefault="00566815" w:rsidP="00C777B4">
      <w:pPr>
        <w:spacing w:after="0"/>
        <w:jc w:val="both"/>
        <w:rPr>
          <w:b/>
        </w:rPr>
      </w:pPr>
      <w:r w:rsidRPr="00C777B4">
        <w:rPr>
          <w:b/>
        </w:rPr>
        <w:t>Arundel and South Downs – Nick Herbert MP</w:t>
      </w:r>
    </w:p>
    <w:p w:rsidR="00566815" w:rsidRDefault="00566815" w:rsidP="00C777B4">
      <w:pPr>
        <w:spacing w:after="0"/>
        <w:jc w:val="both"/>
      </w:pPr>
    </w:p>
    <w:tbl>
      <w:tblPr>
        <w:tblStyle w:val="TableGrid"/>
        <w:tblW w:w="9356" w:type="dxa"/>
        <w:tblInd w:w="-5" w:type="dxa"/>
        <w:tblLook w:val="04A0" w:firstRow="1" w:lastRow="0" w:firstColumn="1" w:lastColumn="0" w:noHBand="0" w:noVBand="1"/>
      </w:tblPr>
      <w:tblGrid>
        <w:gridCol w:w="1871"/>
        <w:gridCol w:w="1871"/>
        <w:gridCol w:w="1871"/>
        <w:gridCol w:w="1871"/>
        <w:gridCol w:w="1872"/>
      </w:tblGrid>
      <w:tr w:rsidR="00C777B4" w:rsidTr="00C777B4">
        <w:tc>
          <w:tcPr>
            <w:tcW w:w="1871" w:type="dxa"/>
            <w:tcBorders>
              <w:top w:val="single" w:sz="4" w:space="0" w:color="auto"/>
              <w:left w:val="single" w:sz="4" w:space="0" w:color="auto"/>
              <w:bottom w:val="single" w:sz="4" w:space="0" w:color="auto"/>
              <w:right w:val="single" w:sz="4" w:space="0" w:color="auto"/>
            </w:tcBorders>
            <w:hideMark/>
          </w:tcPr>
          <w:p w:rsidR="00C777B4" w:rsidRDefault="00C777B4">
            <w:pPr>
              <w:rPr>
                <w:b/>
              </w:rPr>
            </w:pPr>
            <w:proofErr w:type="spellStart"/>
            <w:r>
              <w:rPr>
                <w:b/>
              </w:rPr>
              <w:t>Steyning</w:t>
            </w:r>
            <w:proofErr w:type="spellEnd"/>
            <w:r>
              <w:rPr>
                <w:b/>
              </w:rPr>
              <w:t xml:space="preserve"> Grammar</w:t>
            </w:r>
          </w:p>
          <w:p w:rsidR="00C777B4" w:rsidRDefault="00C777B4">
            <w:r>
              <w:t>(1636 students)</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 xml:space="preserve">Greenwich </w:t>
            </w:r>
          </w:p>
          <w:p w:rsidR="00C777B4" w:rsidRDefault="00C777B4">
            <w:r>
              <w:t>(1636 students)</w:t>
            </w:r>
          </w:p>
        </w:tc>
        <w:tc>
          <w:tcPr>
            <w:tcW w:w="1871" w:type="dxa"/>
            <w:tcBorders>
              <w:top w:val="single" w:sz="4" w:space="0" w:color="auto"/>
              <w:left w:val="single" w:sz="4" w:space="0" w:color="auto"/>
              <w:bottom w:val="single" w:sz="4" w:space="0" w:color="auto"/>
              <w:right w:val="single" w:sz="4" w:space="0" w:color="auto"/>
            </w:tcBorders>
            <w:vAlign w:val="center"/>
            <w:hideMark/>
          </w:tcPr>
          <w:p w:rsidR="00C777B4" w:rsidRDefault="00C777B4">
            <w:r>
              <w:t xml:space="preserve">Difference  </w:t>
            </w:r>
          </w:p>
        </w:tc>
        <w:tc>
          <w:tcPr>
            <w:tcW w:w="1871" w:type="dxa"/>
            <w:tcBorders>
              <w:top w:val="single" w:sz="4" w:space="0" w:color="auto"/>
              <w:left w:val="single" w:sz="4" w:space="0" w:color="auto"/>
              <w:bottom w:val="single" w:sz="4" w:space="0" w:color="auto"/>
              <w:right w:val="single" w:sz="4" w:space="0" w:color="auto"/>
            </w:tcBorders>
            <w:vAlign w:val="center"/>
            <w:hideMark/>
          </w:tcPr>
          <w:p w:rsidR="00C777B4" w:rsidRDefault="00C777B4">
            <w:r>
              <w:t>Hackney</w:t>
            </w:r>
          </w:p>
          <w:p w:rsidR="00C777B4" w:rsidRDefault="00C777B4">
            <w:r>
              <w:t>(1636 students)</w:t>
            </w:r>
          </w:p>
        </w:tc>
        <w:tc>
          <w:tcPr>
            <w:tcW w:w="1872" w:type="dxa"/>
            <w:tcBorders>
              <w:top w:val="single" w:sz="4" w:space="0" w:color="auto"/>
              <w:left w:val="single" w:sz="4" w:space="0" w:color="auto"/>
              <w:bottom w:val="single" w:sz="4" w:space="0" w:color="auto"/>
              <w:right w:val="single" w:sz="4" w:space="0" w:color="auto"/>
            </w:tcBorders>
            <w:vAlign w:val="center"/>
            <w:hideMark/>
          </w:tcPr>
          <w:p w:rsidR="00C777B4" w:rsidRDefault="00C777B4">
            <w:r>
              <w:t>Difference</w:t>
            </w:r>
          </w:p>
        </w:tc>
      </w:tr>
      <w:tr w:rsidR="00C777B4" w:rsidTr="00C777B4">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£7,511,152</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£10,553,836</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pPr>
              <w:rPr>
                <w:color w:val="FF0000"/>
              </w:rPr>
            </w:pPr>
            <w:r>
              <w:rPr>
                <w:color w:val="FF0000"/>
              </w:rPr>
              <w:t>-£3,042,684 (41%)</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£12,826,240</w:t>
            </w:r>
          </w:p>
        </w:tc>
        <w:tc>
          <w:tcPr>
            <w:tcW w:w="1872" w:type="dxa"/>
            <w:tcBorders>
              <w:top w:val="single" w:sz="4" w:space="0" w:color="auto"/>
              <w:left w:val="single" w:sz="4" w:space="0" w:color="auto"/>
              <w:bottom w:val="single" w:sz="4" w:space="0" w:color="auto"/>
              <w:right w:val="single" w:sz="4" w:space="0" w:color="auto"/>
            </w:tcBorders>
            <w:hideMark/>
          </w:tcPr>
          <w:p w:rsidR="00C777B4" w:rsidRDefault="00C777B4">
            <w:pPr>
              <w:rPr>
                <w:color w:val="FF0000"/>
              </w:rPr>
            </w:pPr>
            <w:r>
              <w:rPr>
                <w:color w:val="FF0000"/>
              </w:rPr>
              <w:t>-£5,315,088 (71%)</w:t>
            </w:r>
          </w:p>
        </w:tc>
      </w:tr>
    </w:tbl>
    <w:p w:rsidR="00C777B4" w:rsidRDefault="00C777B4" w:rsidP="00C777B4">
      <w:pPr>
        <w:spacing w:after="0"/>
        <w:jc w:val="both"/>
      </w:pPr>
    </w:p>
    <w:tbl>
      <w:tblPr>
        <w:tblStyle w:val="TableGrid"/>
        <w:tblW w:w="9356" w:type="dxa"/>
        <w:tblInd w:w="-5" w:type="dxa"/>
        <w:tblLook w:val="04A0" w:firstRow="1" w:lastRow="0" w:firstColumn="1" w:lastColumn="0" w:noHBand="0" w:noVBand="1"/>
      </w:tblPr>
      <w:tblGrid>
        <w:gridCol w:w="1871"/>
        <w:gridCol w:w="1871"/>
        <w:gridCol w:w="1871"/>
        <w:gridCol w:w="1871"/>
        <w:gridCol w:w="1872"/>
      </w:tblGrid>
      <w:tr w:rsidR="00C777B4" w:rsidTr="00C777B4">
        <w:tc>
          <w:tcPr>
            <w:tcW w:w="1871" w:type="dxa"/>
            <w:tcBorders>
              <w:top w:val="single" w:sz="4" w:space="0" w:color="auto"/>
              <w:left w:val="single" w:sz="4" w:space="0" w:color="auto"/>
              <w:bottom w:val="single" w:sz="4" w:space="0" w:color="auto"/>
              <w:right w:val="single" w:sz="4" w:space="0" w:color="auto"/>
            </w:tcBorders>
            <w:hideMark/>
          </w:tcPr>
          <w:p w:rsidR="00C777B4" w:rsidRDefault="00C777B4">
            <w:pPr>
              <w:rPr>
                <w:b/>
              </w:rPr>
            </w:pPr>
            <w:proofErr w:type="spellStart"/>
            <w:r>
              <w:rPr>
                <w:b/>
              </w:rPr>
              <w:t>Angmering</w:t>
            </w:r>
            <w:proofErr w:type="spellEnd"/>
          </w:p>
          <w:p w:rsidR="00C777B4" w:rsidRDefault="00C777B4">
            <w:r>
              <w:t>(1236 students)</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 xml:space="preserve">Greenwich </w:t>
            </w:r>
          </w:p>
          <w:p w:rsidR="00C777B4" w:rsidRDefault="00C777B4">
            <w:r>
              <w:t>(1236 students)</w:t>
            </w:r>
          </w:p>
        </w:tc>
        <w:tc>
          <w:tcPr>
            <w:tcW w:w="1871" w:type="dxa"/>
            <w:tcBorders>
              <w:top w:val="single" w:sz="4" w:space="0" w:color="auto"/>
              <w:left w:val="single" w:sz="4" w:space="0" w:color="auto"/>
              <w:bottom w:val="single" w:sz="4" w:space="0" w:color="auto"/>
              <w:right w:val="single" w:sz="4" w:space="0" w:color="auto"/>
            </w:tcBorders>
            <w:vAlign w:val="center"/>
            <w:hideMark/>
          </w:tcPr>
          <w:p w:rsidR="00C777B4" w:rsidRDefault="00C777B4">
            <w:r>
              <w:t xml:space="preserve">Difference  </w:t>
            </w:r>
          </w:p>
        </w:tc>
        <w:tc>
          <w:tcPr>
            <w:tcW w:w="1871" w:type="dxa"/>
            <w:tcBorders>
              <w:top w:val="single" w:sz="4" w:space="0" w:color="auto"/>
              <w:left w:val="single" w:sz="4" w:space="0" w:color="auto"/>
              <w:bottom w:val="single" w:sz="4" w:space="0" w:color="auto"/>
              <w:right w:val="single" w:sz="4" w:space="0" w:color="auto"/>
            </w:tcBorders>
            <w:vAlign w:val="center"/>
            <w:hideMark/>
          </w:tcPr>
          <w:p w:rsidR="00C777B4" w:rsidRDefault="00C777B4">
            <w:r>
              <w:t>Hackney</w:t>
            </w:r>
          </w:p>
          <w:p w:rsidR="00C777B4" w:rsidRDefault="00C777B4">
            <w:r>
              <w:t>(1236 students)</w:t>
            </w:r>
          </w:p>
        </w:tc>
        <w:tc>
          <w:tcPr>
            <w:tcW w:w="1872" w:type="dxa"/>
            <w:tcBorders>
              <w:top w:val="single" w:sz="4" w:space="0" w:color="auto"/>
              <w:left w:val="single" w:sz="4" w:space="0" w:color="auto"/>
              <w:bottom w:val="single" w:sz="4" w:space="0" w:color="auto"/>
              <w:right w:val="single" w:sz="4" w:space="0" w:color="auto"/>
            </w:tcBorders>
            <w:vAlign w:val="center"/>
            <w:hideMark/>
          </w:tcPr>
          <w:p w:rsidR="00C777B4" w:rsidRDefault="00C777B4">
            <w:r>
              <w:t>Difference</w:t>
            </w:r>
          </w:p>
        </w:tc>
      </w:tr>
      <w:tr w:rsidR="00C777B4" w:rsidTr="00C777B4">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£5,689,625</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£7,973,436</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pPr>
              <w:rPr>
                <w:color w:val="FF0000"/>
              </w:rPr>
            </w:pPr>
            <w:r>
              <w:rPr>
                <w:color w:val="FF0000"/>
              </w:rPr>
              <w:t>-£2,283,811 (40%)</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£9,690,240</w:t>
            </w:r>
          </w:p>
        </w:tc>
        <w:tc>
          <w:tcPr>
            <w:tcW w:w="1872" w:type="dxa"/>
            <w:tcBorders>
              <w:top w:val="single" w:sz="4" w:space="0" w:color="auto"/>
              <w:left w:val="single" w:sz="4" w:space="0" w:color="auto"/>
              <w:bottom w:val="single" w:sz="4" w:space="0" w:color="auto"/>
              <w:right w:val="single" w:sz="4" w:space="0" w:color="auto"/>
            </w:tcBorders>
            <w:hideMark/>
          </w:tcPr>
          <w:p w:rsidR="00C777B4" w:rsidRDefault="00C777B4">
            <w:pPr>
              <w:rPr>
                <w:color w:val="FF0000"/>
              </w:rPr>
            </w:pPr>
            <w:r>
              <w:rPr>
                <w:color w:val="FF0000"/>
              </w:rPr>
              <w:t>-£4,000,615 (70%)</w:t>
            </w:r>
          </w:p>
        </w:tc>
      </w:tr>
    </w:tbl>
    <w:p w:rsidR="00C777B4" w:rsidRDefault="00C777B4" w:rsidP="00C777B4">
      <w:pPr>
        <w:spacing w:after="0"/>
        <w:jc w:val="both"/>
      </w:pPr>
    </w:p>
    <w:tbl>
      <w:tblPr>
        <w:tblStyle w:val="TableGrid"/>
        <w:tblW w:w="9356" w:type="dxa"/>
        <w:tblInd w:w="-5" w:type="dxa"/>
        <w:tblLook w:val="04A0" w:firstRow="1" w:lastRow="0" w:firstColumn="1" w:lastColumn="0" w:noHBand="0" w:noVBand="1"/>
      </w:tblPr>
      <w:tblGrid>
        <w:gridCol w:w="1871"/>
        <w:gridCol w:w="1871"/>
        <w:gridCol w:w="1871"/>
        <w:gridCol w:w="1871"/>
        <w:gridCol w:w="1872"/>
      </w:tblGrid>
      <w:tr w:rsidR="00E32109" w:rsidTr="00374573">
        <w:tc>
          <w:tcPr>
            <w:tcW w:w="1871" w:type="dxa"/>
            <w:tcBorders>
              <w:top w:val="single" w:sz="4" w:space="0" w:color="auto"/>
              <w:left w:val="single" w:sz="4" w:space="0" w:color="auto"/>
              <w:bottom w:val="single" w:sz="4" w:space="0" w:color="auto"/>
              <w:right w:val="single" w:sz="4" w:space="0" w:color="auto"/>
            </w:tcBorders>
            <w:hideMark/>
          </w:tcPr>
          <w:p w:rsidR="00E32109" w:rsidRDefault="00E32109" w:rsidP="00374573">
            <w:pPr>
              <w:rPr>
                <w:b/>
              </w:rPr>
            </w:pPr>
            <w:r>
              <w:rPr>
                <w:b/>
              </w:rPr>
              <w:t xml:space="preserve">Upper </w:t>
            </w:r>
            <w:proofErr w:type="spellStart"/>
            <w:r>
              <w:rPr>
                <w:b/>
              </w:rPr>
              <w:t>Beeding</w:t>
            </w:r>
            <w:proofErr w:type="spellEnd"/>
          </w:p>
          <w:p w:rsidR="00E32109" w:rsidRDefault="00E32109" w:rsidP="00E32109">
            <w:r>
              <w:t>(340 students)</w:t>
            </w:r>
          </w:p>
        </w:tc>
        <w:tc>
          <w:tcPr>
            <w:tcW w:w="1871" w:type="dxa"/>
            <w:tcBorders>
              <w:top w:val="single" w:sz="4" w:space="0" w:color="auto"/>
              <w:left w:val="single" w:sz="4" w:space="0" w:color="auto"/>
              <w:bottom w:val="single" w:sz="4" w:space="0" w:color="auto"/>
              <w:right w:val="single" w:sz="4" w:space="0" w:color="auto"/>
            </w:tcBorders>
            <w:hideMark/>
          </w:tcPr>
          <w:p w:rsidR="00E32109" w:rsidRDefault="00E32109" w:rsidP="00374573">
            <w:r>
              <w:t xml:space="preserve">Greenwich </w:t>
            </w:r>
          </w:p>
          <w:p w:rsidR="00E32109" w:rsidRDefault="00E32109" w:rsidP="00E32109">
            <w:r>
              <w:t>(340 students)</w:t>
            </w:r>
          </w:p>
        </w:tc>
        <w:tc>
          <w:tcPr>
            <w:tcW w:w="1871" w:type="dxa"/>
            <w:tcBorders>
              <w:top w:val="single" w:sz="4" w:space="0" w:color="auto"/>
              <w:left w:val="single" w:sz="4" w:space="0" w:color="auto"/>
              <w:bottom w:val="single" w:sz="4" w:space="0" w:color="auto"/>
              <w:right w:val="single" w:sz="4" w:space="0" w:color="auto"/>
            </w:tcBorders>
            <w:vAlign w:val="center"/>
            <w:hideMark/>
          </w:tcPr>
          <w:p w:rsidR="00E32109" w:rsidRDefault="00E32109" w:rsidP="00374573">
            <w:r>
              <w:t xml:space="preserve">Difference  </w:t>
            </w:r>
          </w:p>
        </w:tc>
        <w:tc>
          <w:tcPr>
            <w:tcW w:w="1871" w:type="dxa"/>
            <w:tcBorders>
              <w:top w:val="single" w:sz="4" w:space="0" w:color="auto"/>
              <w:left w:val="single" w:sz="4" w:space="0" w:color="auto"/>
              <w:bottom w:val="single" w:sz="4" w:space="0" w:color="auto"/>
              <w:right w:val="single" w:sz="4" w:space="0" w:color="auto"/>
            </w:tcBorders>
            <w:vAlign w:val="center"/>
            <w:hideMark/>
          </w:tcPr>
          <w:p w:rsidR="00E32109" w:rsidRDefault="00E32109" w:rsidP="00374573">
            <w:r>
              <w:t>Hackney</w:t>
            </w:r>
          </w:p>
          <w:p w:rsidR="00E32109" w:rsidRDefault="00E32109" w:rsidP="00E32109">
            <w:r>
              <w:t>(340 students)</w:t>
            </w:r>
          </w:p>
        </w:tc>
        <w:tc>
          <w:tcPr>
            <w:tcW w:w="1872" w:type="dxa"/>
            <w:tcBorders>
              <w:top w:val="single" w:sz="4" w:space="0" w:color="auto"/>
              <w:left w:val="single" w:sz="4" w:space="0" w:color="auto"/>
              <w:bottom w:val="single" w:sz="4" w:space="0" w:color="auto"/>
              <w:right w:val="single" w:sz="4" w:space="0" w:color="auto"/>
            </w:tcBorders>
            <w:vAlign w:val="center"/>
            <w:hideMark/>
          </w:tcPr>
          <w:p w:rsidR="00E32109" w:rsidRDefault="00E32109" w:rsidP="00374573">
            <w:r>
              <w:t>Difference</w:t>
            </w:r>
          </w:p>
        </w:tc>
      </w:tr>
      <w:tr w:rsidR="00E32109" w:rsidTr="00E32109">
        <w:tc>
          <w:tcPr>
            <w:tcW w:w="1871" w:type="dxa"/>
            <w:tcBorders>
              <w:top w:val="single" w:sz="4" w:space="0" w:color="auto"/>
              <w:left w:val="single" w:sz="4" w:space="0" w:color="auto"/>
              <w:bottom w:val="single" w:sz="4" w:space="0" w:color="auto"/>
              <w:right w:val="single" w:sz="4" w:space="0" w:color="auto"/>
            </w:tcBorders>
          </w:tcPr>
          <w:p w:rsidR="00E32109" w:rsidRDefault="00E32109" w:rsidP="00374573">
            <w:r>
              <w:t>£1,201,000</w:t>
            </w:r>
          </w:p>
        </w:tc>
        <w:tc>
          <w:tcPr>
            <w:tcW w:w="1871" w:type="dxa"/>
            <w:tcBorders>
              <w:top w:val="single" w:sz="4" w:space="0" w:color="auto"/>
              <w:left w:val="single" w:sz="4" w:space="0" w:color="auto"/>
              <w:bottom w:val="single" w:sz="4" w:space="0" w:color="auto"/>
              <w:right w:val="single" w:sz="4" w:space="0" w:color="auto"/>
            </w:tcBorders>
          </w:tcPr>
          <w:p w:rsidR="00E32109" w:rsidRDefault="00E32109" w:rsidP="00374573">
            <w:r>
              <w:t>£1,665,320</w:t>
            </w:r>
          </w:p>
        </w:tc>
        <w:tc>
          <w:tcPr>
            <w:tcW w:w="1871" w:type="dxa"/>
            <w:tcBorders>
              <w:top w:val="single" w:sz="4" w:space="0" w:color="auto"/>
              <w:left w:val="single" w:sz="4" w:space="0" w:color="auto"/>
              <w:bottom w:val="single" w:sz="4" w:space="0" w:color="auto"/>
              <w:right w:val="single" w:sz="4" w:space="0" w:color="auto"/>
            </w:tcBorders>
          </w:tcPr>
          <w:p w:rsidR="00E32109" w:rsidRDefault="00E32109" w:rsidP="00374573">
            <w:pPr>
              <w:rPr>
                <w:color w:val="FF0000"/>
              </w:rPr>
            </w:pPr>
            <w:r>
              <w:rPr>
                <w:color w:val="FF0000"/>
              </w:rPr>
              <w:t>-£464,320 (39%)</w:t>
            </w:r>
          </w:p>
        </w:tc>
        <w:tc>
          <w:tcPr>
            <w:tcW w:w="1871" w:type="dxa"/>
            <w:tcBorders>
              <w:top w:val="single" w:sz="4" w:space="0" w:color="auto"/>
              <w:left w:val="single" w:sz="4" w:space="0" w:color="auto"/>
              <w:bottom w:val="single" w:sz="4" w:space="0" w:color="auto"/>
              <w:right w:val="single" w:sz="4" w:space="0" w:color="auto"/>
            </w:tcBorders>
          </w:tcPr>
          <w:p w:rsidR="00E32109" w:rsidRDefault="00E32109" w:rsidP="00374573">
            <w:r>
              <w:t>£2,001,580</w:t>
            </w:r>
          </w:p>
        </w:tc>
        <w:tc>
          <w:tcPr>
            <w:tcW w:w="1872" w:type="dxa"/>
            <w:tcBorders>
              <w:top w:val="single" w:sz="4" w:space="0" w:color="auto"/>
              <w:left w:val="single" w:sz="4" w:space="0" w:color="auto"/>
              <w:bottom w:val="single" w:sz="4" w:space="0" w:color="auto"/>
              <w:right w:val="single" w:sz="4" w:space="0" w:color="auto"/>
            </w:tcBorders>
          </w:tcPr>
          <w:p w:rsidR="00E32109" w:rsidRDefault="00E32109" w:rsidP="00374573">
            <w:pPr>
              <w:rPr>
                <w:color w:val="FF0000"/>
              </w:rPr>
            </w:pPr>
            <w:r>
              <w:rPr>
                <w:color w:val="FF0000"/>
              </w:rPr>
              <w:t>-£800,580 (67%)</w:t>
            </w:r>
          </w:p>
        </w:tc>
      </w:tr>
    </w:tbl>
    <w:p w:rsidR="00E32109" w:rsidRDefault="00E32109" w:rsidP="00C777B4">
      <w:pPr>
        <w:spacing w:after="0"/>
        <w:jc w:val="both"/>
      </w:pPr>
    </w:p>
    <w:p w:rsidR="00C777B4" w:rsidRPr="00C777B4" w:rsidRDefault="00C777B4" w:rsidP="00C777B4">
      <w:pPr>
        <w:spacing w:after="0"/>
        <w:jc w:val="both"/>
      </w:pPr>
    </w:p>
    <w:p w:rsidR="00566815" w:rsidRPr="00C777B4" w:rsidRDefault="00566815" w:rsidP="00C777B4">
      <w:pPr>
        <w:spacing w:after="0"/>
        <w:jc w:val="both"/>
        <w:rPr>
          <w:b/>
        </w:rPr>
      </w:pPr>
      <w:r w:rsidRPr="00C777B4">
        <w:rPr>
          <w:b/>
        </w:rPr>
        <w:t>Worthing West – Sir Peter Bottomley MP</w:t>
      </w:r>
    </w:p>
    <w:p w:rsidR="00566815" w:rsidRPr="00C777B4" w:rsidRDefault="00566815" w:rsidP="00C777B4">
      <w:pPr>
        <w:spacing w:after="0"/>
        <w:jc w:val="both"/>
      </w:pPr>
    </w:p>
    <w:tbl>
      <w:tblPr>
        <w:tblStyle w:val="TableGrid"/>
        <w:tblW w:w="9356" w:type="dxa"/>
        <w:tblInd w:w="-5" w:type="dxa"/>
        <w:tblLook w:val="04A0" w:firstRow="1" w:lastRow="0" w:firstColumn="1" w:lastColumn="0" w:noHBand="0" w:noVBand="1"/>
      </w:tblPr>
      <w:tblGrid>
        <w:gridCol w:w="1871"/>
        <w:gridCol w:w="1871"/>
        <w:gridCol w:w="1871"/>
        <w:gridCol w:w="1871"/>
        <w:gridCol w:w="1872"/>
      </w:tblGrid>
      <w:tr w:rsidR="00C777B4" w:rsidTr="00C777B4">
        <w:tc>
          <w:tcPr>
            <w:tcW w:w="1871" w:type="dxa"/>
            <w:tcBorders>
              <w:top w:val="single" w:sz="4" w:space="0" w:color="auto"/>
              <w:left w:val="single" w:sz="4" w:space="0" w:color="auto"/>
              <w:bottom w:val="single" w:sz="4" w:space="0" w:color="auto"/>
              <w:right w:val="single" w:sz="4" w:space="0" w:color="auto"/>
            </w:tcBorders>
            <w:hideMark/>
          </w:tcPr>
          <w:p w:rsidR="00C777B4" w:rsidRDefault="00C777B4">
            <w:pPr>
              <w:rPr>
                <w:b/>
              </w:rPr>
            </w:pPr>
            <w:proofErr w:type="spellStart"/>
            <w:r>
              <w:rPr>
                <w:b/>
              </w:rPr>
              <w:t>Durrington</w:t>
            </w:r>
            <w:proofErr w:type="spellEnd"/>
            <w:r>
              <w:rPr>
                <w:b/>
              </w:rPr>
              <w:t xml:space="preserve"> </w:t>
            </w:r>
          </w:p>
          <w:p w:rsidR="00C777B4" w:rsidRDefault="00C777B4">
            <w:r>
              <w:t>(1685 students)</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 xml:space="preserve">Greenwich </w:t>
            </w:r>
          </w:p>
          <w:p w:rsidR="00C777B4" w:rsidRDefault="00C777B4">
            <w:r>
              <w:t>(1685 students)</w:t>
            </w:r>
          </w:p>
        </w:tc>
        <w:tc>
          <w:tcPr>
            <w:tcW w:w="1871" w:type="dxa"/>
            <w:tcBorders>
              <w:top w:val="single" w:sz="4" w:space="0" w:color="auto"/>
              <w:left w:val="single" w:sz="4" w:space="0" w:color="auto"/>
              <w:bottom w:val="single" w:sz="4" w:space="0" w:color="auto"/>
              <w:right w:val="single" w:sz="4" w:space="0" w:color="auto"/>
            </w:tcBorders>
            <w:vAlign w:val="center"/>
            <w:hideMark/>
          </w:tcPr>
          <w:p w:rsidR="00C777B4" w:rsidRDefault="00C777B4">
            <w:r>
              <w:t xml:space="preserve">Difference  </w:t>
            </w:r>
          </w:p>
        </w:tc>
        <w:tc>
          <w:tcPr>
            <w:tcW w:w="1871" w:type="dxa"/>
            <w:tcBorders>
              <w:top w:val="single" w:sz="4" w:space="0" w:color="auto"/>
              <w:left w:val="single" w:sz="4" w:space="0" w:color="auto"/>
              <w:bottom w:val="single" w:sz="4" w:space="0" w:color="auto"/>
              <w:right w:val="single" w:sz="4" w:space="0" w:color="auto"/>
            </w:tcBorders>
            <w:vAlign w:val="center"/>
            <w:hideMark/>
          </w:tcPr>
          <w:p w:rsidR="00C777B4" w:rsidRDefault="00C777B4">
            <w:r>
              <w:t>Hackney</w:t>
            </w:r>
          </w:p>
          <w:p w:rsidR="00C777B4" w:rsidRDefault="00C777B4">
            <w:r>
              <w:t>(1685 students)</w:t>
            </w:r>
          </w:p>
        </w:tc>
        <w:tc>
          <w:tcPr>
            <w:tcW w:w="1872" w:type="dxa"/>
            <w:tcBorders>
              <w:top w:val="single" w:sz="4" w:space="0" w:color="auto"/>
              <w:left w:val="single" w:sz="4" w:space="0" w:color="auto"/>
              <w:bottom w:val="single" w:sz="4" w:space="0" w:color="auto"/>
              <w:right w:val="single" w:sz="4" w:space="0" w:color="auto"/>
            </w:tcBorders>
            <w:vAlign w:val="center"/>
            <w:hideMark/>
          </w:tcPr>
          <w:p w:rsidR="00C777B4" w:rsidRDefault="00C777B4">
            <w:r>
              <w:t>Difference</w:t>
            </w:r>
          </w:p>
        </w:tc>
      </w:tr>
      <w:tr w:rsidR="00C777B4" w:rsidTr="00C777B4">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£7,957,009</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£10,869,935</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pPr>
              <w:rPr>
                <w:color w:val="FF0000"/>
              </w:rPr>
            </w:pPr>
            <w:r>
              <w:rPr>
                <w:color w:val="FF0000"/>
              </w:rPr>
              <w:t>-£2,912,926 (37%)</w:t>
            </w:r>
          </w:p>
        </w:tc>
        <w:tc>
          <w:tcPr>
            <w:tcW w:w="1871" w:type="dxa"/>
            <w:tcBorders>
              <w:top w:val="single" w:sz="4" w:space="0" w:color="auto"/>
              <w:left w:val="single" w:sz="4" w:space="0" w:color="auto"/>
              <w:bottom w:val="single" w:sz="4" w:space="0" w:color="auto"/>
              <w:right w:val="single" w:sz="4" w:space="0" w:color="auto"/>
            </w:tcBorders>
            <w:hideMark/>
          </w:tcPr>
          <w:p w:rsidR="00C777B4" w:rsidRDefault="00C777B4">
            <w:r>
              <w:t>£13,210,400</w:t>
            </w:r>
          </w:p>
        </w:tc>
        <w:tc>
          <w:tcPr>
            <w:tcW w:w="1872" w:type="dxa"/>
            <w:tcBorders>
              <w:top w:val="single" w:sz="4" w:space="0" w:color="auto"/>
              <w:left w:val="single" w:sz="4" w:space="0" w:color="auto"/>
              <w:bottom w:val="single" w:sz="4" w:space="0" w:color="auto"/>
              <w:right w:val="single" w:sz="4" w:space="0" w:color="auto"/>
            </w:tcBorders>
            <w:hideMark/>
          </w:tcPr>
          <w:p w:rsidR="00C777B4" w:rsidRDefault="00C777B4">
            <w:pPr>
              <w:rPr>
                <w:color w:val="FF0000"/>
              </w:rPr>
            </w:pPr>
            <w:r>
              <w:rPr>
                <w:color w:val="FF0000"/>
              </w:rPr>
              <w:t>-£5,253,391 (66%)</w:t>
            </w:r>
          </w:p>
        </w:tc>
      </w:tr>
    </w:tbl>
    <w:p w:rsidR="00C777B4" w:rsidRDefault="00C777B4" w:rsidP="00C777B4">
      <w:pPr>
        <w:spacing w:after="0"/>
        <w:jc w:val="both"/>
      </w:pPr>
    </w:p>
    <w:p w:rsidR="00566815" w:rsidRPr="00C777B4" w:rsidRDefault="00566815" w:rsidP="00C777B4">
      <w:pPr>
        <w:spacing w:after="0"/>
        <w:jc w:val="both"/>
      </w:pPr>
      <w:r w:rsidRPr="00C777B4">
        <w:t xml:space="preserve">Please note these statistics are all based on the Department </w:t>
      </w:r>
      <w:r w:rsidRPr="0035198E">
        <w:t>for Education</w:t>
      </w:r>
      <w:r w:rsidR="00DA7A25" w:rsidRPr="0035198E">
        <w:t>’</w:t>
      </w:r>
      <w:r w:rsidRPr="0035198E">
        <w:t>s</w:t>
      </w:r>
      <w:r w:rsidRPr="00C777B4">
        <w:t xml:space="preserve"> own database for the financial year 2018-19.  The figures relate to year groups 7-11 and </w:t>
      </w:r>
      <w:r w:rsidRPr="00C777B4">
        <w:rPr>
          <w:b/>
        </w:rPr>
        <w:t xml:space="preserve">do not include additional </w:t>
      </w:r>
      <w:r w:rsidR="002F35B3" w:rsidRPr="00C777B4">
        <w:rPr>
          <w:b/>
        </w:rPr>
        <w:t>funding such</w:t>
      </w:r>
      <w:r w:rsidRPr="00C777B4">
        <w:rPr>
          <w:b/>
        </w:rPr>
        <w:t xml:space="preserve"> as Pupil Premium Grant (PPG).</w:t>
      </w:r>
      <w:r w:rsidRPr="00C777B4">
        <w:t xml:space="preserve">  PPG is worth £1320 per eligible pupil in primary schools and £935 per eligible pupil in secondary schools. </w:t>
      </w:r>
    </w:p>
    <w:p w:rsidR="00566815" w:rsidRPr="00C777B4" w:rsidRDefault="00566815" w:rsidP="00C777B4">
      <w:pPr>
        <w:spacing w:after="0"/>
        <w:jc w:val="both"/>
      </w:pPr>
    </w:p>
    <w:p w:rsidR="00566815" w:rsidRPr="00C777B4" w:rsidRDefault="00566815" w:rsidP="00C777B4">
      <w:pPr>
        <w:spacing w:after="0"/>
        <w:jc w:val="both"/>
      </w:pPr>
      <w:r w:rsidRPr="00C777B4">
        <w:t>NB a secondary school with 250 pupils eligible for free school meals in the last 6 years would receive an additional £233,750 through PPG.</w:t>
      </w:r>
    </w:p>
    <w:p w:rsidR="00566815" w:rsidRPr="00C777B4" w:rsidRDefault="00566815" w:rsidP="00C777B4">
      <w:pPr>
        <w:spacing w:after="0"/>
        <w:jc w:val="both"/>
      </w:pPr>
    </w:p>
    <w:p w:rsidR="00566815" w:rsidRPr="00C777B4" w:rsidRDefault="00566815" w:rsidP="00C777B4">
      <w:pPr>
        <w:spacing w:after="0"/>
        <w:jc w:val="both"/>
      </w:pPr>
      <w:r w:rsidRPr="00C777B4">
        <w:t xml:space="preserve">A large secondary school with 25% of pupils (400) eligible for Pupil Premium would receive an additional £374,000 each year. </w:t>
      </w:r>
    </w:p>
    <w:p w:rsidR="00566815" w:rsidRPr="00C777B4" w:rsidRDefault="00566815" w:rsidP="00C777B4">
      <w:pPr>
        <w:spacing w:after="0"/>
        <w:jc w:val="both"/>
      </w:pPr>
    </w:p>
    <w:p w:rsidR="000B1BCA" w:rsidRDefault="00566815" w:rsidP="00C777B4">
      <w:pPr>
        <w:spacing w:after="0"/>
        <w:jc w:val="both"/>
      </w:pPr>
      <w:r w:rsidRPr="00C777B4">
        <w:t xml:space="preserve">It should be noted that London schools must pay a higher London weighted salary.  This can account for 10-15% higher costs.  Areas as such as Crawley, must also pay a higher ‘fringe allowance’ for salaries.  </w:t>
      </w:r>
    </w:p>
    <w:p w:rsidR="00A124D2" w:rsidRDefault="00A124D2" w:rsidP="00C777B4">
      <w:pPr>
        <w:spacing w:after="0"/>
        <w:jc w:val="both"/>
        <w:rPr>
          <w:b/>
        </w:rPr>
      </w:pPr>
      <w:bookmarkStart w:id="0" w:name="_GoBack"/>
      <w:bookmarkEnd w:id="0"/>
    </w:p>
    <w:p w:rsidR="00566815" w:rsidRPr="00C777B4" w:rsidRDefault="00566815" w:rsidP="00C777B4">
      <w:pPr>
        <w:spacing w:after="0"/>
        <w:jc w:val="both"/>
        <w:rPr>
          <w:b/>
        </w:rPr>
      </w:pPr>
      <w:r w:rsidRPr="00C777B4">
        <w:rPr>
          <w:b/>
        </w:rPr>
        <w:t>How does the new funding formula impact upon schools and academies in West Sussex?</w:t>
      </w:r>
    </w:p>
    <w:p w:rsidR="00566815" w:rsidRPr="00C777B4" w:rsidRDefault="00566815" w:rsidP="00C777B4">
      <w:pPr>
        <w:spacing w:after="0"/>
        <w:jc w:val="both"/>
      </w:pPr>
    </w:p>
    <w:tbl>
      <w:tblPr>
        <w:tblStyle w:val="TableGrid"/>
        <w:tblW w:w="5963" w:type="dxa"/>
        <w:tblInd w:w="0" w:type="dxa"/>
        <w:tblLook w:val="04A0" w:firstRow="1" w:lastRow="0" w:firstColumn="1" w:lastColumn="0" w:noHBand="0" w:noVBand="1"/>
      </w:tblPr>
      <w:tblGrid>
        <w:gridCol w:w="3681"/>
        <w:gridCol w:w="1024"/>
        <w:gridCol w:w="1258"/>
      </w:tblGrid>
      <w:tr w:rsidR="00C777B4" w:rsidTr="00C777B4">
        <w:tc>
          <w:tcPr>
            <w:tcW w:w="3681" w:type="dxa"/>
            <w:tcBorders>
              <w:top w:val="single" w:sz="4" w:space="0" w:color="auto"/>
              <w:left w:val="single" w:sz="4" w:space="0" w:color="auto"/>
              <w:bottom w:val="single" w:sz="4" w:space="0" w:color="auto"/>
              <w:right w:val="single" w:sz="4" w:space="0" w:color="auto"/>
            </w:tcBorders>
            <w:hideMark/>
          </w:tcPr>
          <w:p w:rsidR="00C777B4" w:rsidRDefault="00C777B4">
            <w:pPr>
              <w:jc w:val="both"/>
            </w:pPr>
            <w:r>
              <w:rPr>
                <w:b/>
              </w:rPr>
              <w:t>Average per pupil unit funding</w:t>
            </w:r>
          </w:p>
        </w:tc>
        <w:tc>
          <w:tcPr>
            <w:tcW w:w="1024" w:type="dxa"/>
            <w:tcBorders>
              <w:top w:val="single" w:sz="4" w:space="0" w:color="auto"/>
              <w:left w:val="single" w:sz="4" w:space="0" w:color="auto"/>
              <w:bottom w:val="single" w:sz="4" w:space="0" w:color="auto"/>
              <w:right w:val="single" w:sz="4" w:space="0" w:color="auto"/>
            </w:tcBorders>
            <w:hideMark/>
          </w:tcPr>
          <w:p w:rsidR="00C777B4" w:rsidRDefault="00C777B4">
            <w:pPr>
              <w:jc w:val="both"/>
              <w:rPr>
                <w:b/>
              </w:rPr>
            </w:pPr>
            <w:r>
              <w:rPr>
                <w:b/>
              </w:rPr>
              <w:t>Primary (PUF)</w:t>
            </w:r>
          </w:p>
        </w:tc>
        <w:tc>
          <w:tcPr>
            <w:tcW w:w="1258" w:type="dxa"/>
            <w:tcBorders>
              <w:top w:val="single" w:sz="4" w:space="0" w:color="auto"/>
              <w:left w:val="single" w:sz="4" w:space="0" w:color="auto"/>
              <w:bottom w:val="single" w:sz="4" w:space="0" w:color="auto"/>
              <w:right w:val="single" w:sz="4" w:space="0" w:color="auto"/>
            </w:tcBorders>
            <w:hideMark/>
          </w:tcPr>
          <w:p w:rsidR="00C777B4" w:rsidRDefault="00C777B4">
            <w:pPr>
              <w:jc w:val="both"/>
              <w:rPr>
                <w:b/>
              </w:rPr>
            </w:pPr>
            <w:r>
              <w:rPr>
                <w:b/>
              </w:rPr>
              <w:t>Secondary (SUF)</w:t>
            </w:r>
          </w:p>
        </w:tc>
      </w:tr>
      <w:tr w:rsidR="00C777B4" w:rsidTr="00C777B4">
        <w:tc>
          <w:tcPr>
            <w:tcW w:w="3681" w:type="dxa"/>
            <w:tcBorders>
              <w:top w:val="single" w:sz="4" w:space="0" w:color="auto"/>
              <w:left w:val="single" w:sz="4" w:space="0" w:color="auto"/>
              <w:bottom w:val="single" w:sz="4" w:space="0" w:color="auto"/>
              <w:right w:val="single" w:sz="4" w:space="0" w:color="auto"/>
            </w:tcBorders>
            <w:hideMark/>
          </w:tcPr>
          <w:p w:rsidR="00C777B4" w:rsidRDefault="00C777B4">
            <w:pPr>
              <w:jc w:val="both"/>
            </w:pPr>
            <w:r>
              <w:t>Average per pupil funding West Sussex</w:t>
            </w:r>
          </w:p>
        </w:tc>
        <w:tc>
          <w:tcPr>
            <w:tcW w:w="1024" w:type="dxa"/>
            <w:tcBorders>
              <w:top w:val="single" w:sz="4" w:space="0" w:color="auto"/>
              <w:left w:val="single" w:sz="4" w:space="0" w:color="auto"/>
              <w:bottom w:val="single" w:sz="4" w:space="0" w:color="auto"/>
              <w:right w:val="single" w:sz="4" w:space="0" w:color="auto"/>
            </w:tcBorders>
            <w:hideMark/>
          </w:tcPr>
          <w:p w:rsidR="00C777B4" w:rsidRDefault="00C777B4">
            <w:pPr>
              <w:jc w:val="both"/>
            </w:pPr>
            <w:r>
              <w:t>£3,677</w:t>
            </w:r>
          </w:p>
        </w:tc>
        <w:tc>
          <w:tcPr>
            <w:tcW w:w="1258" w:type="dxa"/>
            <w:tcBorders>
              <w:top w:val="single" w:sz="4" w:space="0" w:color="auto"/>
              <w:left w:val="single" w:sz="4" w:space="0" w:color="auto"/>
              <w:bottom w:val="single" w:sz="4" w:space="0" w:color="auto"/>
              <w:right w:val="single" w:sz="4" w:space="0" w:color="auto"/>
            </w:tcBorders>
            <w:hideMark/>
          </w:tcPr>
          <w:p w:rsidR="00C777B4" w:rsidRDefault="00C777B4">
            <w:pPr>
              <w:jc w:val="both"/>
            </w:pPr>
            <w:r>
              <w:t>£4,756</w:t>
            </w:r>
          </w:p>
        </w:tc>
      </w:tr>
      <w:tr w:rsidR="00C777B4" w:rsidTr="00C777B4">
        <w:tc>
          <w:tcPr>
            <w:tcW w:w="3681" w:type="dxa"/>
            <w:tcBorders>
              <w:top w:val="single" w:sz="4" w:space="0" w:color="auto"/>
              <w:left w:val="single" w:sz="4" w:space="0" w:color="auto"/>
              <w:bottom w:val="single" w:sz="4" w:space="0" w:color="auto"/>
              <w:right w:val="single" w:sz="4" w:space="0" w:color="auto"/>
            </w:tcBorders>
            <w:hideMark/>
          </w:tcPr>
          <w:p w:rsidR="00C777B4" w:rsidRDefault="00C777B4">
            <w:pPr>
              <w:jc w:val="both"/>
            </w:pPr>
            <w:r>
              <w:t>Average per pupil funding Greenwich</w:t>
            </w:r>
          </w:p>
        </w:tc>
        <w:tc>
          <w:tcPr>
            <w:tcW w:w="1024" w:type="dxa"/>
            <w:tcBorders>
              <w:top w:val="single" w:sz="4" w:space="0" w:color="auto"/>
              <w:left w:val="single" w:sz="4" w:space="0" w:color="auto"/>
              <w:bottom w:val="single" w:sz="4" w:space="0" w:color="auto"/>
              <w:right w:val="single" w:sz="4" w:space="0" w:color="auto"/>
            </w:tcBorders>
            <w:hideMark/>
          </w:tcPr>
          <w:p w:rsidR="00C777B4" w:rsidRDefault="00C777B4">
            <w:pPr>
              <w:jc w:val="both"/>
            </w:pPr>
            <w:r>
              <w:t>£4,898</w:t>
            </w:r>
          </w:p>
        </w:tc>
        <w:tc>
          <w:tcPr>
            <w:tcW w:w="1258" w:type="dxa"/>
            <w:tcBorders>
              <w:top w:val="single" w:sz="4" w:space="0" w:color="auto"/>
              <w:left w:val="single" w:sz="4" w:space="0" w:color="auto"/>
              <w:bottom w:val="single" w:sz="4" w:space="0" w:color="auto"/>
              <w:right w:val="single" w:sz="4" w:space="0" w:color="auto"/>
            </w:tcBorders>
            <w:hideMark/>
          </w:tcPr>
          <w:p w:rsidR="00C777B4" w:rsidRDefault="00C777B4">
            <w:pPr>
              <w:jc w:val="both"/>
            </w:pPr>
            <w:r>
              <w:t>£6,451</w:t>
            </w:r>
          </w:p>
        </w:tc>
      </w:tr>
      <w:tr w:rsidR="00C777B4" w:rsidTr="00C777B4">
        <w:tc>
          <w:tcPr>
            <w:tcW w:w="3681" w:type="dxa"/>
            <w:tcBorders>
              <w:top w:val="single" w:sz="4" w:space="0" w:color="auto"/>
              <w:left w:val="single" w:sz="4" w:space="0" w:color="auto"/>
              <w:bottom w:val="single" w:sz="4" w:space="0" w:color="auto"/>
              <w:right w:val="single" w:sz="4" w:space="0" w:color="auto"/>
            </w:tcBorders>
            <w:hideMark/>
          </w:tcPr>
          <w:p w:rsidR="00C777B4" w:rsidRDefault="00C777B4">
            <w:pPr>
              <w:jc w:val="both"/>
            </w:pPr>
            <w:r>
              <w:t xml:space="preserve">Average per pupil funding Hackney </w:t>
            </w:r>
          </w:p>
        </w:tc>
        <w:tc>
          <w:tcPr>
            <w:tcW w:w="1024" w:type="dxa"/>
            <w:tcBorders>
              <w:top w:val="single" w:sz="4" w:space="0" w:color="auto"/>
              <w:left w:val="single" w:sz="4" w:space="0" w:color="auto"/>
              <w:bottom w:val="single" w:sz="4" w:space="0" w:color="auto"/>
              <w:right w:val="single" w:sz="4" w:space="0" w:color="auto"/>
            </w:tcBorders>
            <w:hideMark/>
          </w:tcPr>
          <w:p w:rsidR="00C777B4" w:rsidRDefault="00C777B4">
            <w:pPr>
              <w:jc w:val="both"/>
            </w:pPr>
            <w:r>
              <w:t>£5,887</w:t>
            </w:r>
          </w:p>
        </w:tc>
        <w:tc>
          <w:tcPr>
            <w:tcW w:w="1258" w:type="dxa"/>
            <w:tcBorders>
              <w:top w:val="single" w:sz="4" w:space="0" w:color="auto"/>
              <w:left w:val="single" w:sz="4" w:space="0" w:color="auto"/>
              <w:bottom w:val="single" w:sz="4" w:space="0" w:color="auto"/>
              <w:right w:val="single" w:sz="4" w:space="0" w:color="auto"/>
            </w:tcBorders>
            <w:hideMark/>
          </w:tcPr>
          <w:p w:rsidR="00C777B4" w:rsidRDefault="00C777B4">
            <w:pPr>
              <w:jc w:val="both"/>
            </w:pPr>
            <w:r>
              <w:t>£7,840</w:t>
            </w:r>
          </w:p>
        </w:tc>
      </w:tr>
    </w:tbl>
    <w:p w:rsidR="00566815" w:rsidRPr="00C777B4" w:rsidRDefault="00566815" w:rsidP="00C777B4">
      <w:pPr>
        <w:spacing w:after="0"/>
        <w:jc w:val="both"/>
      </w:pPr>
    </w:p>
    <w:p w:rsidR="00566815" w:rsidRPr="00C777B4" w:rsidRDefault="00566815" w:rsidP="00C777B4">
      <w:pPr>
        <w:pStyle w:val="ListParagraph"/>
        <w:numPr>
          <w:ilvl w:val="0"/>
          <w:numId w:val="2"/>
        </w:numPr>
        <w:spacing w:after="0"/>
        <w:ind w:left="709" w:hanging="283"/>
        <w:jc w:val="both"/>
      </w:pPr>
      <w:r w:rsidRPr="00C777B4">
        <w:t xml:space="preserve">Under the new National Funding Formula, West Sussex will receive </w:t>
      </w:r>
      <w:r w:rsidRPr="00C777B4">
        <w:rPr>
          <w:b/>
        </w:rPr>
        <w:t>£12.8 million</w:t>
      </w:r>
      <w:r w:rsidRPr="00C777B4">
        <w:t xml:space="preserve">.  West Sussex has 104,000 pupils so </w:t>
      </w:r>
      <w:proofErr w:type="gramStart"/>
      <w:r w:rsidRPr="00C777B4">
        <w:t>our per</w:t>
      </w:r>
      <w:proofErr w:type="gramEnd"/>
      <w:r w:rsidRPr="00C777B4">
        <w:t xml:space="preserve"> pupil uplift is £12.8million divided by 104,000 = </w:t>
      </w:r>
      <w:r w:rsidRPr="00C777B4">
        <w:rPr>
          <w:b/>
        </w:rPr>
        <w:t>£123 per pupil</w:t>
      </w:r>
      <w:r w:rsidRPr="00C777B4">
        <w:t xml:space="preserve">.  </w:t>
      </w:r>
    </w:p>
    <w:p w:rsidR="00566815" w:rsidRPr="00C777B4" w:rsidRDefault="00566815" w:rsidP="00C777B4">
      <w:pPr>
        <w:pStyle w:val="ListParagraph"/>
        <w:numPr>
          <w:ilvl w:val="0"/>
          <w:numId w:val="2"/>
        </w:numPr>
        <w:spacing w:after="0"/>
        <w:ind w:left="709" w:hanging="283"/>
        <w:jc w:val="both"/>
      </w:pPr>
      <w:r w:rsidRPr="00C777B4">
        <w:t xml:space="preserve">In 2018 West Sussex pupils will receive </w:t>
      </w:r>
      <w:r w:rsidRPr="00C777B4">
        <w:rPr>
          <w:b/>
        </w:rPr>
        <w:t>£423 million in total</w:t>
      </w:r>
      <w:r w:rsidRPr="00C777B4">
        <w:t>.  The average funded authority – Reading – will receive £30 million more.</w:t>
      </w:r>
    </w:p>
    <w:p w:rsidR="00566815" w:rsidRPr="00C777B4" w:rsidRDefault="00566815" w:rsidP="00C777B4">
      <w:pPr>
        <w:pStyle w:val="ListParagraph"/>
        <w:numPr>
          <w:ilvl w:val="0"/>
          <w:numId w:val="2"/>
        </w:numPr>
        <w:spacing w:after="0"/>
        <w:ind w:left="709" w:hanging="283"/>
        <w:jc w:val="both"/>
      </w:pPr>
      <w:r w:rsidRPr="00C777B4">
        <w:t xml:space="preserve">Pupils in Greenwich will receive </w:t>
      </w:r>
      <w:r w:rsidRPr="00C777B4">
        <w:rPr>
          <w:b/>
        </w:rPr>
        <w:t>£145 million more</w:t>
      </w:r>
      <w:r w:rsidRPr="00C777B4">
        <w:t xml:space="preserve"> </w:t>
      </w:r>
    </w:p>
    <w:p w:rsidR="00566815" w:rsidRPr="00C777B4" w:rsidRDefault="00566815" w:rsidP="00C777B4">
      <w:pPr>
        <w:pStyle w:val="ListParagraph"/>
        <w:numPr>
          <w:ilvl w:val="0"/>
          <w:numId w:val="2"/>
        </w:numPr>
        <w:spacing w:after="0"/>
        <w:ind w:left="709" w:hanging="283"/>
        <w:jc w:val="both"/>
      </w:pPr>
      <w:r w:rsidRPr="00C777B4">
        <w:t xml:space="preserve">Pupils in Hackney will receive </w:t>
      </w:r>
      <w:r w:rsidRPr="00C777B4">
        <w:rPr>
          <w:b/>
        </w:rPr>
        <w:t>£263 million more</w:t>
      </w:r>
      <w:r w:rsidRPr="00C777B4">
        <w:t xml:space="preserve"> </w:t>
      </w:r>
    </w:p>
    <w:p w:rsidR="00566815" w:rsidRPr="00C777B4" w:rsidRDefault="00566815" w:rsidP="00C777B4">
      <w:pPr>
        <w:pStyle w:val="ListParagraph"/>
        <w:numPr>
          <w:ilvl w:val="0"/>
          <w:numId w:val="2"/>
        </w:numPr>
        <w:spacing w:after="0"/>
        <w:ind w:left="709" w:hanging="283"/>
        <w:jc w:val="both"/>
      </w:pPr>
      <w:r w:rsidRPr="00C777B4">
        <w:t xml:space="preserve">Over a five year span – the lifetime of secondary school placement – pupils in Greenwich will receive £725 million more than their counterparts in West Sussex.  </w:t>
      </w:r>
    </w:p>
    <w:p w:rsidR="00566815" w:rsidRPr="00C777B4" w:rsidRDefault="00566815" w:rsidP="00C777B4">
      <w:pPr>
        <w:pStyle w:val="ListParagraph"/>
        <w:numPr>
          <w:ilvl w:val="0"/>
          <w:numId w:val="2"/>
        </w:numPr>
        <w:spacing w:after="0"/>
        <w:ind w:left="709" w:hanging="283"/>
        <w:jc w:val="both"/>
      </w:pPr>
      <w:r w:rsidRPr="00C777B4">
        <w:t xml:space="preserve">Over a five year span – the lifetime of secondary school placement – pupils in Hackney will receive £1.31 billion more than their counterparts in West Sussex.   </w:t>
      </w:r>
    </w:p>
    <w:p w:rsidR="00566815" w:rsidRPr="00C777B4" w:rsidRDefault="00566815" w:rsidP="00C777B4">
      <w:pPr>
        <w:pStyle w:val="ListParagraph"/>
        <w:numPr>
          <w:ilvl w:val="0"/>
          <w:numId w:val="2"/>
        </w:numPr>
        <w:spacing w:after="0"/>
        <w:ind w:left="709" w:hanging="283"/>
        <w:jc w:val="both"/>
      </w:pPr>
      <w:r w:rsidRPr="00C777B4">
        <w:t xml:space="preserve">All of the funding differences noted above exclude the additional funding that Pupil Premium provides.  </w:t>
      </w:r>
    </w:p>
    <w:p w:rsidR="00566815" w:rsidRPr="00C777B4" w:rsidRDefault="00566815" w:rsidP="00C777B4">
      <w:pPr>
        <w:spacing w:after="0"/>
        <w:jc w:val="both"/>
      </w:pPr>
    </w:p>
    <w:p w:rsidR="00566815" w:rsidRPr="00C777B4" w:rsidRDefault="00566815" w:rsidP="00C777B4">
      <w:pPr>
        <w:spacing w:after="0"/>
        <w:jc w:val="both"/>
      </w:pPr>
      <w:r w:rsidRPr="00C777B4">
        <w:t xml:space="preserve">Please note that the same proportionate funding differentials apply in </w:t>
      </w:r>
      <w:r w:rsidR="002F35B3" w:rsidRPr="00C777B4">
        <w:t>the primary</w:t>
      </w:r>
      <w:r w:rsidRPr="00C777B4">
        <w:t xml:space="preserve"> school sector.  </w:t>
      </w:r>
    </w:p>
    <w:p w:rsidR="00566815" w:rsidRPr="00C777B4" w:rsidRDefault="00566815" w:rsidP="00C777B4">
      <w:pPr>
        <w:spacing w:after="0"/>
        <w:jc w:val="both"/>
      </w:pPr>
    </w:p>
    <w:p w:rsidR="00566815" w:rsidRPr="00C777B4" w:rsidRDefault="00566815" w:rsidP="00C777B4">
      <w:pPr>
        <w:spacing w:after="0"/>
        <w:jc w:val="both"/>
      </w:pPr>
      <w:r w:rsidRPr="00C777B4">
        <w:t>Special schools in West Sussex also receive lower average funding than equivalent schools in other local authorities. Furthermore, unlike mainstream schools there is no planned funding uplift, even 0.5% per pupil, planned in 2018/19 owing to the funding pressures affecting High Needs</w:t>
      </w:r>
    </w:p>
    <w:p w:rsidR="00566815" w:rsidRPr="00C777B4" w:rsidRDefault="00566815" w:rsidP="00C777B4">
      <w:pPr>
        <w:spacing w:after="0"/>
        <w:jc w:val="both"/>
      </w:pPr>
    </w:p>
    <w:p w:rsidR="00566815" w:rsidRPr="00C777B4" w:rsidRDefault="00566815" w:rsidP="00C777B4">
      <w:pPr>
        <w:spacing w:after="0"/>
        <w:jc w:val="both"/>
      </w:pPr>
      <w:r w:rsidRPr="00C777B4">
        <w:t xml:space="preserve">Manor Green Special School (Crawley) receives £4,120 per pupil less than the national median excluding London.  This equates to -£861,080 (23% less funding) for their roll of 209 severely disabled students.  They lack the average London median income by £12,598 per pupil for 209 pupils, this creates an income difference of -£2,632,982 (71% less funding).   </w:t>
      </w:r>
    </w:p>
    <w:p w:rsidR="00566815" w:rsidRPr="00C777B4" w:rsidRDefault="00566815" w:rsidP="00C777B4">
      <w:pPr>
        <w:spacing w:after="0"/>
        <w:jc w:val="both"/>
      </w:pPr>
    </w:p>
    <w:p w:rsidR="00C70D40" w:rsidRPr="000B1BCA" w:rsidRDefault="00566815" w:rsidP="00C777B4">
      <w:pPr>
        <w:spacing w:after="0"/>
        <w:jc w:val="both"/>
        <w:rPr>
          <w:i/>
        </w:rPr>
      </w:pPr>
      <w:r w:rsidRPr="000B1BCA">
        <w:rPr>
          <w:i/>
        </w:rPr>
        <w:t xml:space="preserve">The calculations above show the funding that exemplar secondary schools in West Sussex will receive in 2018/19 and compares it to the funding that the same sized average funded school would receive in Greenwich (£6,451 per pupil) and Hackney (£7,840 per pupil).    Please note that for simplicity the calculations are based on the Secondary Units of Funding (SUF) which apply to Greenwich and Hackney. The SUF is the average unit of funding based on all NFF formula factors and local pupil characteristics for secondary schools in each LA. Premises costs, such as rates and PFI are excluded from all calculations.  </w:t>
      </w:r>
    </w:p>
    <w:sectPr w:rsidR="00C70D40" w:rsidRPr="000B1B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D12914"/>
    <w:multiLevelType w:val="hybridMultilevel"/>
    <w:tmpl w:val="192C1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0A0C92"/>
    <w:multiLevelType w:val="hybridMultilevel"/>
    <w:tmpl w:val="87FE89C0"/>
    <w:lvl w:ilvl="0" w:tplc="30EC1AF4">
      <w:numFmt w:val="bullet"/>
      <w:lvlText w:val="•"/>
      <w:lvlJc w:val="left"/>
      <w:pPr>
        <w:ind w:left="294" w:hanging="720"/>
      </w:pPr>
      <w:rPr>
        <w:rFonts w:ascii="Calibri" w:eastAsiaTheme="minorHAnsi" w:hAnsi="Calibri" w:cstheme="minorBidi" w:hint="default"/>
      </w:rPr>
    </w:lvl>
    <w:lvl w:ilvl="1" w:tplc="08090003" w:tentative="1">
      <w:start w:val="1"/>
      <w:numFmt w:val="bullet"/>
      <w:lvlText w:val="o"/>
      <w:lvlJc w:val="left"/>
      <w:pPr>
        <w:ind w:left="654" w:hanging="360"/>
      </w:pPr>
      <w:rPr>
        <w:rFonts w:ascii="Courier New" w:hAnsi="Courier New" w:cs="Courier New" w:hint="default"/>
      </w:rPr>
    </w:lvl>
    <w:lvl w:ilvl="2" w:tplc="08090005" w:tentative="1">
      <w:start w:val="1"/>
      <w:numFmt w:val="bullet"/>
      <w:lvlText w:val=""/>
      <w:lvlJc w:val="left"/>
      <w:pPr>
        <w:ind w:left="1374" w:hanging="360"/>
      </w:pPr>
      <w:rPr>
        <w:rFonts w:ascii="Wingdings" w:hAnsi="Wingdings" w:hint="default"/>
      </w:rPr>
    </w:lvl>
    <w:lvl w:ilvl="3" w:tplc="08090001" w:tentative="1">
      <w:start w:val="1"/>
      <w:numFmt w:val="bullet"/>
      <w:lvlText w:val=""/>
      <w:lvlJc w:val="left"/>
      <w:pPr>
        <w:ind w:left="2094" w:hanging="360"/>
      </w:pPr>
      <w:rPr>
        <w:rFonts w:ascii="Symbol" w:hAnsi="Symbol" w:hint="default"/>
      </w:rPr>
    </w:lvl>
    <w:lvl w:ilvl="4" w:tplc="08090003" w:tentative="1">
      <w:start w:val="1"/>
      <w:numFmt w:val="bullet"/>
      <w:lvlText w:val="o"/>
      <w:lvlJc w:val="left"/>
      <w:pPr>
        <w:ind w:left="2814" w:hanging="360"/>
      </w:pPr>
      <w:rPr>
        <w:rFonts w:ascii="Courier New" w:hAnsi="Courier New" w:cs="Courier New" w:hint="default"/>
      </w:rPr>
    </w:lvl>
    <w:lvl w:ilvl="5" w:tplc="08090005" w:tentative="1">
      <w:start w:val="1"/>
      <w:numFmt w:val="bullet"/>
      <w:lvlText w:val=""/>
      <w:lvlJc w:val="left"/>
      <w:pPr>
        <w:ind w:left="3534" w:hanging="360"/>
      </w:pPr>
      <w:rPr>
        <w:rFonts w:ascii="Wingdings" w:hAnsi="Wingdings" w:hint="default"/>
      </w:rPr>
    </w:lvl>
    <w:lvl w:ilvl="6" w:tplc="08090001" w:tentative="1">
      <w:start w:val="1"/>
      <w:numFmt w:val="bullet"/>
      <w:lvlText w:val=""/>
      <w:lvlJc w:val="left"/>
      <w:pPr>
        <w:ind w:left="4254" w:hanging="360"/>
      </w:pPr>
      <w:rPr>
        <w:rFonts w:ascii="Symbol" w:hAnsi="Symbol" w:hint="default"/>
      </w:rPr>
    </w:lvl>
    <w:lvl w:ilvl="7" w:tplc="08090003" w:tentative="1">
      <w:start w:val="1"/>
      <w:numFmt w:val="bullet"/>
      <w:lvlText w:val="o"/>
      <w:lvlJc w:val="left"/>
      <w:pPr>
        <w:ind w:left="4974" w:hanging="360"/>
      </w:pPr>
      <w:rPr>
        <w:rFonts w:ascii="Courier New" w:hAnsi="Courier New" w:cs="Courier New" w:hint="default"/>
      </w:rPr>
    </w:lvl>
    <w:lvl w:ilvl="8" w:tplc="08090005" w:tentative="1">
      <w:start w:val="1"/>
      <w:numFmt w:val="bullet"/>
      <w:lvlText w:val=""/>
      <w:lvlJc w:val="left"/>
      <w:pPr>
        <w:ind w:left="569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815"/>
    <w:rsid w:val="000B1BCA"/>
    <w:rsid w:val="002F35B3"/>
    <w:rsid w:val="0035198E"/>
    <w:rsid w:val="003D44FE"/>
    <w:rsid w:val="004D7857"/>
    <w:rsid w:val="00566815"/>
    <w:rsid w:val="005D675B"/>
    <w:rsid w:val="008201BF"/>
    <w:rsid w:val="00A124D2"/>
    <w:rsid w:val="00AA2F6D"/>
    <w:rsid w:val="00C70D40"/>
    <w:rsid w:val="00C777B4"/>
    <w:rsid w:val="00DA7A25"/>
    <w:rsid w:val="00E32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E88977-7D2F-446A-A5D8-CB2442E92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1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77B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10138">
      <w:bodyDiv w:val="1"/>
      <w:marLeft w:val="0"/>
      <w:marRight w:val="0"/>
      <w:marTop w:val="0"/>
      <w:marBottom w:val="0"/>
      <w:divBdr>
        <w:top w:val="none" w:sz="0" w:space="0" w:color="auto"/>
        <w:left w:val="none" w:sz="0" w:space="0" w:color="auto"/>
        <w:bottom w:val="none" w:sz="0" w:space="0" w:color="auto"/>
        <w:right w:val="none" w:sz="0" w:space="0" w:color="auto"/>
      </w:divBdr>
    </w:div>
    <w:div w:id="33966415">
      <w:bodyDiv w:val="1"/>
      <w:marLeft w:val="0"/>
      <w:marRight w:val="0"/>
      <w:marTop w:val="0"/>
      <w:marBottom w:val="0"/>
      <w:divBdr>
        <w:top w:val="none" w:sz="0" w:space="0" w:color="auto"/>
        <w:left w:val="none" w:sz="0" w:space="0" w:color="auto"/>
        <w:bottom w:val="none" w:sz="0" w:space="0" w:color="auto"/>
        <w:right w:val="none" w:sz="0" w:space="0" w:color="auto"/>
      </w:divBdr>
    </w:div>
    <w:div w:id="59377473">
      <w:bodyDiv w:val="1"/>
      <w:marLeft w:val="0"/>
      <w:marRight w:val="0"/>
      <w:marTop w:val="0"/>
      <w:marBottom w:val="0"/>
      <w:divBdr>
        <w:top w:val="none" w:sz="0" w:space="0" w:color="auto"/>
        <w:left w:val="none" w:sz="0" w:space="0" w:color="auto"/>
        <w:bottom w:val="none" w:sz="0" w:space="0" w:color="auto"/>
        <w:right w:val="none" w:sz="0" w:space="0" w:color="auto"/>
      </w:divBdr>
    </w:div>
    <w:div w:id="83113504">
      <w:bodyDiv w:val="1"/>
      <w:marLeft w:val="0"/>
      <w:marRight w:val="0"/>
      <w:marTop w:val="0"/>
      <w:marBottom w:val="0"/>
      <w:divBdr>
        <w:top w:val="none" w:sz="0" w:space="0" w:color="auto"/>
        <w:left w:val="none" w:sz="0" w:space="0" w:color="auto"/>
        <w:bottom w:val="none" w:sz="0" w:space="0" w:color="auto"/>
        <w:right w:val="none" w:sz="0" w:space="0" w:color="auto"/>
      </w:divBdr>
    </w:div>
    <w:div w:id="207105389">
      <w:bodyDiv w:val="1"/>
      <w:marLeft w:val="0"/>
      <w:marRight w:val="0"/>
      <w:marTop w:val="0"/>
      <w:marBottom w:val="0"/>
      <w:divBdr>
        <w:top w:val="none" w:sz="0" w:space="0" w:color="auto"/>
        <w:left w:val="none" w:sz="0" w:space="0" w:color="auto"/>
        <w:bottom w:val="none" w:sz="0" w:space="0" w:color="auto"/>
        <w:right w:val="none" w:sz="0" w:space="0" w:color="auto"/>
      </w:divBdr>
    </w:div>
    <w:div w:id="262154408">
      <w:bodyDiv w:val="1"/>
      <w:marLeft w:val="0"/>
      <w:marRight w:val="0"/>
      <w:marTop w:val="0"/>
      <w:marBottom w:val="0"/>
      <w:divBdr>
        <w:top w:val="none" w:sz="0" w:space="0" w:color="auto"/>
        <w:left w:val="none" w:sz="0" w:space="0" w:color="auto"/>
        <w:bottom w:val="none" w:sz="0" w:space="0" w:color="auto"/>
        <w:right w:val="none" w:sz="0" w:space="0" w:color="auto"/>
      </w:divBdr>
    </w:div>
    <w:div w:id="763574617">
      <w:bodyDiv w:val="1"/>
      <w:marLeft w:val="0"/>
      <w:marRight w:val="0"/>
      <w:marTop w:val="0"/>
      <w:marBottom w:val="0"/>
      <w:divBdr>
        <w:top w:val="none" w:sz="0" w:space="0" w:color="auto"/>
        <w:left w:val="none" w:sz="0" w:space="0" w:color="auto"/>
        <w:bottom w:val="none" w:sz="0" w:space="0" w:color="auto"/>
        <w:right w:val="none" w:sz="0" w:space="0" w:color="auto"/>
      </w:divBdr>
    </w:div>
    <w:div w:id="777455454">
      <w:bodyDiv w:val="1"/>
      <w:marLeft w:val="0"/>
      <w:marRight w:val="0"/>
      <w:marTop w:val="0"/>
      <w:marBottom w:val="0"/>
      <w:divBdr>
        <w:top w:val="none" w:sz="0" w:space="0" w:color="auto"/>
        <w:left w:val="none" w:sz="0" w:space="0" w:color="auto"/>
        <w:bottom w:val="none" w:sz="0" w:space="0" w:color="auto"/>
        <w:right w:val="none" w:sz="0" w:space="0" w:color="auto"/>
      </w:divBdr>
    </w:div>
    <w:div w:id="1064988431">
      <w:bodyDiv w:val="1"/>
      <w:marLeft w:val="0"/>
      <w:marRight w:val="0"/>
      <w:marTop w:val="0"/>
      <w:marBottom w:val="0"/>
      <w:divBdr>
        <w:top w:val="none" w:sz="0" w:space="0" w:color="auto"/>
        <w:left w:val="none" w:sz="0" w:space="0" w:color="auto"/>
        <w:bottom w:val="none" w:sz="0" w:space="0" w:color="auto"/>
        <w:right w:val="none" w:sz="0" w:space="0" w:color="auto"/>
      </w:divBdr>
    </w:div>
    <w:div w:id="1078939829">
      <w:bodyDiv w:val="1"/>
      <w:marLeft w:val="0"/>
      <w:marRight w:val="0"/>
      <w:marTop w:val="0"/>
      <w:marBottom w:val="0"/>
      <w:divBdr>
        <w:top w:val="none" w:sz="0" w:space="0" w:color="auto"/>
        <w:left w:val="none" w:sz="0" w:space="0" w:color="auto"/>
        <w:bottom w:val="none" w:sz="0" w:space="0" w:color="auto"/>
        <w:right w:val="none" w:sz="0" w:space="0" w:color="auto"/>
      </w:divBdr>
    </w:div>
    <w:div w:id="1215655323">
      <w:bodyDiv w:val="1"/>
      <w:marLeft w:val="0"/>
      <w:marRight w:val="0"/>
      <w:marTop w:val="0"/>
      <w:marBottom w:val="0"/>
      <w:divBdr>
        <w:top w:val="none" w:sz="0" w:space="0" w:color="auto"/>
        <w:left w:val="none" w:sz="0" w:space="0" w:color="auto"/>
        <w:bottom w:val="none" w:sz="0" w:space="0" w:color="auto"/>
        <w:right w:val="none" w:sz="0" w:space="0" w:color="auto"/>
      </w:divBdr>
    </w:div>
    <w:div w:id="1318682001">
      <w:bodyDiv w:val="1"/>
      <w:marLeft w:val="0"/>
      <w:marRight w:val="0"/>
      <w:marTop w:val="0"/>
      <w:marBottom w:val="0"/>
      <w:divBdr>
        <w:top w:val="none" w:sz="0" w:space="0" w:color="auto"/>
        <w:left w:val="none" w:sz="0" w:space="0" w:color="auto"/>
        <w:bottom w:val="none" w:sz="0" w:space="0" w:color="auto"/>
        <w:right w:val="none" w:sz="0" w:space="0" w:color="auto"/>
      </w:divBdr>
    </w:div>
    <w:div w:id="1400515682">
      <w:bodyDiv w:val="1"/>
      <w:marLeft w:val="0"/>
      <w:marRight w:val="0"/>
      <w:marTop w:val="0"/>
      <w:marBottom w:val="0"/>
      <w:divBdr>
        <w:top w:val="none" w:sz="0" w:space="0" w:color="auto"/>
        <w:left w:val="none" w:sz="0" w:space="0" w:color="auto"/>
        <w:bottom w:val="none" w:sz="0" w:space="0" w:color="auto"/>
        <w:right w:val="none" w:sz="0" w:space="0" w:color="auto"/>
      </w:divBdr>
    </w:div>
    <w:div w:id="1404525409">
      <w:bodyDiv w:val="1"/>
      <w:marLeft w:val="0"/>
      <w:marRight w:val="0"/>
      <w:marTop w:val="0"/>
      <w:marBottom w:val="0"/>
      <w:divBdr>
        <w:top w:val="none" w:sz="0" w:space="0" w:color="auto"/>
        <w:left w:val="none" w:sz="0" w:space="0" w:color="auto"/>
        <w:bottom w:val="none" w:sz="0" w:space="0" w:color="auto"/>
        <w:right w:val="none" w:sz="0" w:space="0" w:color="auto"/>
      </w:divBdr>
    </w:div>
    <w:div w:id="1579095585">
      <w:bodyDiv w:val="1"/>
      <w:marLeft w:val="0"/>
      <w:marRight w:val="0"/>
      <w:marTop w:val="0"/>
      <w:marBottom w:val="0"/>
      <w:divBdr>
        <w:top w:val="none" w:sz="0" w:space="0" w:color="auto"/>
        <w:left w:val="none" w:sz="0" w:space="0" w:color="auto"/>
        <w:bottom w:val="none" w:sz="0" w:space="0" w:color="auto"/>
        <w:right w:val="none" w:sz="0" w:space="0" w:color="auto"/>
      </w:divBdr>
    </w:div>
    <w:div w:id="1724988934">
      <w:bodyDiv w:val="1"/>
      <w:marLeft w:val="0"/>
      <w:marRight w:val="0"/>
      <w:marTop w:val="0"/>
      <w:marBottom w:val="0"/>
      <w:divBdr>
        <w:top w:val="none" w:sz="0" w:space="0" w:color="auto"/>
        <w:left w:val="none" w:sz="0" w:space="0" w:color="auto"/>
        <w:bottom w:val="none" w:sz="0" w:space="0" w:color="auto"/>
        <w:right w:val="none" w:sz="0" w:space="0" w:color="auto"/>
      </w:divBdr>
    </w:div>
    <w:div w:id="1812863741">
      <w:bodyDiv w:val="1"/>
      <w:marLeft w:val="0"/>
      <w:marRight w:val="0"/>
      <w:marTop w:val="0"/>
      <w:marBottom w:val="0"/>
      <w:divBdr>
        <w:top w:val="none" w:sz="0" w:space="0" w:color="auto"/>
        <w:left w:val="none" w:sz="0" w:space="0" w:color="auto"/>
        <w:bottom w:val="none" w:sz="0" w:space="0" w:color="auto"/>
        <w:right w:val="none" w:sz="0" w:space="0" w:color="auto"/>
      </w:divBdr>
    </w:div>
    <w:div w:id="209354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1E6CE0E8</Template>
  <TotalTime>11</TotalTime>
  <Pages>4</Pages>
  <Words>1326</Words>
  <Characters>7560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Strugnell</dc:creator>
  <cp:keywords/>
  <dc:description/>
  <cp:lastModifiedBy>Gemma Strugnell</cp:lastModifiedBy>
  <cp:revision>6</cp:revision>
  <dcterms:created xsi:type="dcterms:W3CDTF">2018-01-05T12:46:00Z</dcterms:created>
  <dcterms:modified xsi:type="dcterms:W3CDTF">2018-01-08T07:53:00Z</dcterms:modified>
</cp:coreProperties>
</file>