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35C0B8D" w:rsidR="00E66558" w:rsidRDefault="009F4EBA" w:rsidP="009F4EBA">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1" locked="0" layoutInCell="1" allowOverlap="1" wp14:anchorId="5D384119" wp14:editId="661849C7">
            <wp:simplePos x="0" y="0"/>
            <wp:positionH relativeFrom="column">
              <wp:posOffset>5185410</wp:posOffset>
            </wp:positionH>
            <wp:positionV relativeFrom="page">
              <wp:posOffset>544195</wp:posOffset>
            </wp:positionV>
            <wp:extent cx="847725" cy="847725"/>
            <wp:effectExtent l="0" t="0" r="9525" b="9525"/>
            <wp:wrapTight wrapText="bothSides">
              <wp:wrapPolygon edited="0">
                <wp:start x="0" y="0"/>
                <wp:lineTo x="0" y="21357"/>
                <wp:lineTo x="21357" y="21357"/>
                <wp:lineTo x="21357" y="0"/>
                <wp:lineTo x="0" y="0"/>
              </wp:wrapPolygon>
            </wp:wrapTight>
            <wp:docPr id="1" name="Picture 1" descr="TeamBartons-DreamBelieveAchie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Bartons-DreamBelieveAchieve-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9C0FCAC" wp14:editId="3E337000">
            <wp:simplePos x="0" y="0"/>
            <wp:positionH relativeFrom="column">
              <wp:posOffset>76200</wp:posOffset>
            </wp:positionH>
            <wp:positionV relativeFrom="page">
              <wp:posOffset>607060</wp:posOffset>
            </wp:positionV>
            <wp:extent cx="847725" cy="847725"/>
            <wp:effectExtent l="0" t="0" r="9525" b="9525"/>
            <wp:wrapTight wrapText="bothSides">
              <wp:wrapPolygon edited="0">
                <wp:start x="0" y="0"/>
                <wp:lineTo x="0" y="21357"/>
                <wp:lineTo x="21357" y="21357"/>
                <wp:lineTo x="21357" y="0"/>
                <wp:lineTo x="0" y="0"/>
              </wp:wrapPolygon>
            </wp:wrapTight>
            <wp:docPr id="2" name="Picture 2" descr="TeamBartons-DreamBelieveAchie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Bartons-DreamBelieveAchieve-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123C">
        <w:t>Bartons Primary School                                                Pupil Premium Strategy 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C123C">
        <w:t xml:space="preserve">       2021-2024</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D693003"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303" w:type="pct"/>
        <w:tblCellMar>
          <w:left w:w="10" w:type="dxa"/>
          <w:right w:w="10" w:type="dxa"/>
        </w:tblCellMar>
        <w:tblLook w:val="04A0" w:firstRow="1" w:lastRow="0" w:firstColumn="1" w:lastColumn="0" w:noHBand="0" w:noVBand="1"/>
      </w:tblPr>
      <w:tblGrid>
        <w:gridCol w:w="6519"/>
        <w:gridCol w:w="3542"/>
      </w:tblGrid>
      <w:tr w:rsidR="00E66558" w14:paraId="2A7D54B7"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27862" w:rsidRPr="00E27862" w14:paraId="2A7D54BA"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E27862" w:rsidRDefault="009D71E8">
            <w:pPr>
              <w:pStyle w:val="TableRow"/>
              <w:rPr>
                <w:color w:val="auto"/>
              </w:rPr>
            </w:pPr>
            <w:r w:rsidRPr="00E27862">
              <w:rPr>
                <w:color w:val="auto"/>
              </w:rPr>
              <w:t>School name</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2E08166" w:rsidR="00E66558" w:rsidRPr="00E27862" w:rsidRDefault="00176D3B" w:rsidP="006802BE">
            <w:pPr>
              <w:pStyle w:val="TableRow"/>
              <w:ind w:left="0"/>
              <w:rPr>
                <w:color w:val="auto"/>
              </w:rPr>
            </w:pPr>
            <w:r>
              <w:rPr>
                <w:color w:val="auto"/>
              </w:rPr>
              <w:t>Bartons Primary School</w:t>
            </w:r>
          </w:p>
        </w:tc>
      </w:tr>
      <w:tr w:rsidR="00E27862" w:rsidRPr="00E27862" w14:paraId="2A7D54BD"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pPr>
              <w:pStyle w:val="TableRow"/>
              <w:rPr>
                <w:color w:val="auto"/>
              </w:rPr>
            </w:pPr>
            <w:r w:rsidRPr="00E27862">
              <w:rPr>
                <w:color w:val="auto"/>
              </w:rPr>
              <w:t xml:space="preserve">Number of pupils in school </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D5B6C12" w:rsidR="00E66558" w:rsidRPr="00E27862" w:rsidRDefault="00AB2AC0" w:rsidP="00056398">
            <w:pPr>
              <w:pStyle w:val="TableRow"/>
              <w:ind w:left="0"/>
              <w:rPr>
                <w:color w:val="auto"/>
              </w:rPr>
            </w:pPr>
            <w:r>
              <w:rPr>
                <w:color w:val="auto"/>
              </w:rPr>
              <w:t>20</w:t>
            </w:r>
            <w:r w:rsidR="00F954EC">
              <w:rPr>
                <w:color w:val="auto"/>
              </w:rPr>
              <w:t>6</w:t>
            </w:r>
          </w:p>
        </w:tc>
      </w:tr>
      <w:tr w:rsidR="00E27862" w:rsidRPr="00E27862" w14:paraId="2A7D54C0"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pPr>
              <w:pStyle w:val="TableRow"/>
              <w:rPr>
                <w:color w:val="auto"/>
              </w:rPr>
            </w:pPr>
            <w:r w:rsidRPr="00E27862">
              <w:rPr>
                <w:color w:val="auto"/>
              </w:rPr>
              <w:t>Proportion (%) of pupil premium eligible pupils</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A0CB59C" w:rsidR="00E66558" w:rsidRPr="00E27862" w:rsidRDefault="00056398" w:rsidP="00176D3B">
            <w:pPr>
              <w:pStyle w:val="TableRow"/>
              <w:ind w:left="0"/>
              <w:rPr>
                <w:color w:val="auto"/>
              </w:rPr>
            </w:pPr>
            <w:r>
              <w:rPr>
                <w:color w:val="auto"/>
              </w:rPr>
              <w:t>17</w:t>
            </w:r>
            <w:r w:rsidR="00E12837">
              <w:rPr>
                <w:color w:val="auto"/>
              </w:rPr>
              <w:t>%</w:t>
            </w:r>
          </w:p>
        </w:tc>
      </w:tr>
      <w:tr w:rsidR="00E27862" w:rsidRPr="00E27862" w14:paraId="2A7D54C3"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DC649D">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13AA84C2" w:rsidR="00285516" w:rsidRPr="00E27862" w:rsidRDefault="00056398">
            <w:pPr>
              <w:pStyle w:val="TableRow"/>
              <w:rPr>
                <w:color w:val="auto"/>
              </w:rPr>
            </w:pPr>
            <w:r>
              <w:rPr>
                <w:color w:val="auto"/>
              </w:rPr>
              <w:t xml:space="preserve">Sept </w:t>
            </w:r>
            <w:r w:rsidR="00755D22" w:rsidRPr="00E27862">
              <w:rPr>
                <w:color w:val="auto"/>
              </w:rPr>
              <w:t>2021</w:t>
            </w:r>
            <w:r w:rsidR="00234B3D">
              <w:rPr>
                <w:color w:val="auto"/>
              </w:rPr>
              <w:t xml:space="preserve"> </w:t>
            </w:r>
            <w:r w:rsidR="00285516" w:rsidRPr="00E27862">
              <w:rPr>
                <w:color w:val="auto"/>
              </w:rPr>
              <w:t xml:space="preserve">to </w:t>
            </w:r>
          </w:p>
          <w:p w14:paraId="2A7D54C2" w14:textId="32065378" w:rsidR="00E66558" w:rsidRPr="00E27862" w:rsidRDefault="00056398">
            <w:pPr>
              <w:pStyle w:val="TableRow"/>
              <w:rPr>
                <w:color w:val="auto"/>
              </w:rPr>
            </w:pPr>
            <w:r>
              <w:rPr>
                <w:color w:val="auto"/>
              </w:rPr>
              <w:t xml:space="preserve">Dec </w:t>
            </w:r>
            <w:r w:rsidR="005229ED">
              <w:rPr>
                <w:color w:val="auto"/>
              </w:rPr>
              <w:t>2024</w:t>
            </w:r>
          </w:p>
        </w:tc>
      </w:tr>
      <w:tr w:rsidR="00E27862" w:rsidRPr="00E27862" w14:paraId="2A7D54C6"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pPr>
              <w:pStyle w:val="TableRow"/>
              <w:rPr>
                <w:color w:val="auto"/>
              </w:rPr>
            </w:pPr>
            <w:r w:rsidRPr="00E27862">
              <w:rPr>
                <w:color w:val="auto"/>
                <w:szCs w:val="22"/>
              </w:rPr>
              <w:t>Date this statement was published</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767B4BE" w:rsidR="00AB2AC0" w:rsidRPr="00E27862" w:rsidRDefault="00772D78" w:rsidP="00CD6E38">
            <w:pPr>
              <w:pStyle w:val="TableRow"/>
              <w:rPr>
                <w:color w:val="auto"/>
              </w:rPr>
            </w:pPr>
            <w:r w:rsidRPr="00E27862">
              <w:rPr>
                <w:color w:val="auto"/>
              </w:rPr>
              <w:t>Dece</w:t>
            </w:r>
            <w:r w:rsidR="00755D22" w:rsidRPr="00E27862">
              <w:rPr>
                <w:color w:val="auto"/>
              </w:rPr>
              <w:t>mber 2021</w:t>
            </w:r>
          </w:p>
        </w:tc>
      </w:tr>
      <w:tr w:rsidR="00E27862" w:rsidRPr="00E27862" w14:paraId="2A7D54C9"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pPr>
              <w:pStyle w:val="TableRow"/>
              <w:rPr>
                <w:color w:val="auto"/>
              </w:rPr>
            </w:pPr>
            <w:r w:rsidRPr="00E27862">
              <w:rPr>
                <w:color w:val="auto"/>
                <w:szCs w:val="22"/>
              </w:rPr>
              <w:t>Date on which it will be reviewed</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1D49B3C" w:rsidR="00E66558" w:rsidRPr="00E27862" w:rsidRDefault="00F20C15" w:rsidP="00E80E5A">
            <w:pPr>
              <w:pStyle w:val="TableRow"/>
              <w:ind w:left="0"/>
              <w:rPr>
                <w:color w:val="auto"/>
              </w:rPr>
            </w:pPr>
            <w:r>
              <w:rPr>
                <w:color w:val="00B050"/>
              </w:rPr>
              <w:t>Reviewed</w:t>
            </w:r>
            <w:r w:rsidR="00CD6E38" w:rsidRPr="00E80E5A">
              <w:rPr>
                <w:color w:val="00B050"/>
              </w:rPr>
              <w:t xml:space="preserve"> Dec</w:t>
            </w:r>
            <w:r w:rsidR="00E80E5A" w:rsidRPr="00E80E5A">
              <w:rPr>
                <w:color w:val="00B050"/>
              </w:rPr>
              <w:t>ember</w:t>
            </w:r>
            <w:r w:rsidR="00CD6E38" w:rsidRPr="00E80E5A">
              <w:rPr>
                <w:color w:val="00B050"/>
              </w:rPr>
              <w:t xml:space="preserve"> 202</w:t>
            </w:r>
            <w:r w:rsidR="00AB5242">
              <w:rPr>
                <w:color w:val="00B050"/>
              </w:rPr>
              <w:t>4</w:t>
            </w:r>
            <w:r w:rsidR="00CD6E38" w:rsidRPr="00E80E5A">
              <w:rPr>
                <w:color w:val="00B050"/>
              </w:rPr>
              <w:t xml:space="preserve"> </w:t>
            </w:r>
            <w:r w:rsidR="00AB2AC0">
              <w:rPr>
                <w:color w:val="auto"/>
              </w:rPr>
              <w:t>December 2024</w:t>
            </w:r>
          </w:p>
        </w:tc>
      </w:tr>
      <w:tr w:rsidR="00E27862" w:rsidRPr="00E27862" w14:paraId="2A7D54CC"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pPr>
              <w:pStyle w:val="TableRow"/>
              <w:rPr>
                <w:color w:val="auto"/>
              </w:rPr>
            </w:pPr>
            <w:r w:rsidRPr="00E27862">
              <w:rPr>
                <w:color w:val="auto"/>
              </w:rPr>
              <w:t>Statement authorised by</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519D0EE" w:rsidR="00E66558" w:rsidRPr="00E27862" w:rsidRDefault="00CD6E38" w:rsidP="00CD6E38">
            <w:pPr>
              <w:pStyle w:val="TableRow"/>
              <w:rPr>
                <w:color w:val="auto"/>
              </w:rPr>
            </w:pPr>
            <w:r>
              <w:rPr>
                <w:color w:val="auto"/>
              </w:rPr>
              <w:t xml:space="preserve">Kate Powell        </w:t>
            </w:r>
            <w:r w:rsidR="005D0176" w:rsidRPr="00E27862">
              <w:rPr>
                <w:color w:val="auto"/>
              </w:rPr>
              <w:t>Headteacher</w:t>
            </w:r>
          </w:p>
        </w:tc>
      </w:tr>
      <w:tr w:rsidR="00E27862" w:rsidRPr="00E27862" w14:paraId="2A7D54CF"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pPr>
              <w:pStyle w:val="TableRow"/>
              <w:rPr>
                <w:color w:val="auto"/>
              </w:rPr>
            </w:pPr>
            <w:r w:rsidRPr="00E27862">
              <w:rPr>
                <w:color w:val="auto"/>
              </w:rPr>
              <w:t>Pupil premium lead</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9C51" w14:textId="77777777" w:rsidR="00176D3B" w:rsidRDefault="00176D3B">
            <w:pPr>
              <w:pStyle w:val="TableRow"/>
              <w:rPr>
                <w:color w:val="auto"/>
                <w:szCs w:val="28"/>
              </w:rPr>
            </w:pPr>
            <w:r>
              <w:rPr>
                <w:color w:val="auto"/>
                <w:szCs w:val="28"/>
              </w:rPr>
              <w:t>Ali Powell</w:t>
            </w:r>
          </w:p>
          <w:p w14:paraId="2A7D54CE" w14:textId="3CF8E908" w:rsidR="00E66558" w:rsidRPr="00E27862" w:rsidRDefault="00D73D2B">
            <w:pPr>
              <w:pStyle w:val="TableRow"/>
              <w:rPr>
                <w:color w:val="auto"/>
              </w:rPr>
            </w:pPr>
            <w:r w:rsidRPr="00E27862">
              <w:rPr>
                <w:color w:val="auto"/>
                <w:szCs w:val="28"/>
              </w:rPr>
              <w:t>Deputy Headteacher</w:t>
            </w:r>
          </w:p>
        </w:tc>
      </w:tr>
      <w:tr w:rsidR="00E27862" w:rsidRPr="00E27862" w14:paraId="2A7D54D2" w14:textId="77777777" w:rsidTr="00CD6E38">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810E" w14:textId="77777777" w:rsidR="00E66558" w:rsidRDefault="005229ED" w:rsidP="00614FA5">
            <w:pPr>
              <w:pStyle w:val="TableRow"/>
              <w:rPr>
                <w:color w:val="auto"/>
                <w:szCs w:val="28"/>
              </w:rPr>
            </w:pPr>
            <w:r>
              <w:rPr>
                <w:color w:val="auto"/>
                <w:szCs w:val="28"/>
              </w:rPr>
              <w:t>Mr C Barratt</w:t>
            </w:r>
          </w:p>
          <w:p w14:paraId="2A7D54D1" w14:textId="7B05CD73" w:rsidR="00C07BDA" w:rsidRPr="00E27862" w:rsidRDefault="00C07BDA" w:rsidP="00614FA5">
            <w:pPr>
              <w:pStyle w:val="TableRow"/>
              <w:rPr>
                <w:color w:val="auto"/>
                <w:szCs w:val="28"/>
              </w:rPr>
            </w:pPr>
            <w:r>
              <w:rPr>
                <w:color w:val="auto"/>
                <w:szCs w:val="28"/>
              </w:rPr>
              <w:t>Chair of Governing Board</w:t>
            </w:r>
          </w:p>
        </w:tc>
      </w:tr>
    </w:tbl>
    <w:bookmarkEnd w:id="2"/>
    <w:bookmarkEnd w:id="3"/>
    <w:bookmarkEnd w:id="4"/>
    <w:p w14:paraId="2A7D54D3" w14:textId="77777777" w:rsidR="00E66558" w:rsidRPr="00E27862" w:rsidRDefault="009D71E8">
      <w:pPr>
        <w:spacing w:before="480" w:line="240" w:lineRule="auto"/>
        <w:rPr>
          <w:b/>
          <w:color w:val="auto"/>
          <w:sz w:val="32"/>
          <w:szCs w:val="32"/>
        </w:rPr>
      </w:pPr>
      <w:r w:rsidRPr="00E27862">
        <w:rPr>
          <w:b/>
          <w:color w:val="auto"/>
          <w:sz w:val="32"/>
          <w:szCs w:val="32"/>
        </w:rPr>
        <w:t>Funding overview</w:t>
      </w:r>
    </w:p>
    <w:tbl>
      <w:tblPr>
        <w:tblW w:w="10060" w:type="dxa"/>
        <w:tblCellMar>
          <w:left w:w="10" w:type="dxa"/>
          <w:right w:w="10" w:type="dxa"/>
        </w:tblCellMar>
        <w:tblLook w:val="04A0" w:firstRow="1" w:lastRow="0" w:firstColumn="1" w:lastColumn="0" w:noHBand="0" w:noVBand="1"/>
      </w:tblPr>
      <w:tblGrid>
        <w:gridCol w:w="6516"/>
        <w:gridCol w:w="3544"/>
      </w:tblGrid>
      <w:tr w:rsidR="00E27862" w:rsidRPr="00E27862" w14:paraId="2A7D54D6" w14:textId="77777777" w:rsidTr="00CD6E3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pPr>
              <w:pStyle w:val="TableRow"/>
              <w:rPr>
                <w:color w:val="auto"/>
              </w:rPr>
            </w:pPr>
            <w:r w:rsidRPr="00E27862">
              <w:rPr>
                <w:b/>
                <w:color w:val="auto"/>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pPr>
              <w:pStyle w:val="TableRow"/>
              <w:rPr>
                <w:color w:val="auto"/>
              </w:rPr>
            </w:pPr>
            <w:r w:rsidRPr="00E27862">
              <w:rPr>
                <w:b/>
                <w:color w:val="auto"/>
              </w:rPr>
              <w:t>Amount</w:t>
            </w:r>
          </w:p>
        </w:tc>
      </w:tr>
      <w:tr w:rsidR="00E27862" w:rsidRPr="00E27862" w14:paraId="2A7D54D9" w14:textId="77777777" w:rsidTr="00CD6E3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0A1B80B3" w:rsidR="00E66558" w:rsidRPr="00E27862" w:rsidRDefault="009D71E8" w:rsidP="00BB53E0">
            <w:pPr>
              <w:pStyle w:val="TableRow"/>
              <w:rPr>
                <w:color w:val="auto"/>
              </w:rPr>
            </w:pPr>
            <w:r w:rsidRPr="00E27862">
              <w:rPr>
                <w:color w:val="auto"/>
              </w:rPr>
              <w:t>Pupil premium funding allocation this academic year</w:t>
            </w:r>
            <w:r w:rsidR="00BB53E0">
              <w:rPr>
                <w:color w:val="auto"/>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831B40A" w:rsidR="00E66558" w:rsidRPr="00F954EC" w:rsidRDefault="00F954EC" w:rsidP="00E12837">
            <w:pPr>
              <w:pStyle w:val="TableRow"/>
              <w:rPr>
                <w:color w:val="auto"/>
              </w:rPr>
            </w:pPr>
            <w:r w:rsidRPr="00F954EC">
              <w:rPr>
                <w:color w:val="auto"/>
              </w:rPr>
              <w:t>£55,561</w:t>
            </w:r>
          </w:p>
        </w:tc>
      </w:tr>
      <w:tr w:rsidR="00E27862" w:rsidRPr="00E27862" w14:paraId="2A7D54DC" w14:textId="77777777" w:rsidTr="00CD6E3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pPr>
              <w:pStyle w:val="TableRow"/>
              <w:rPr>
                <w:color w:val="auto"/>
              </w:rPr>
            </w:pPr>
            <w:r w:rsidRPr="00E27862">
              <w:rPr>
                <w:color w:val="auto"/>
              </w:rPr>
              <w:t>Recovery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0E0E19B" w:rsidR="00E66558" w:rsidRPr="00F954EC" w:rsidRDefault="00F954EC">
            <w:pPr>
              <w:pStyle w:val="TableRow"/>
              <w:rPr>
                <w:color w:val="auto"/>
              </w:rPr>
            </w:pPr>
            <w:r w:rsidRPr="00F954EC">
              <w:rPr>
                <w:color w:val="auto"/>
              </w:rPr>
              <w:t>£13,521</w:t>
            </w:r>
          </w:p>
        </w:tc>
      </w:tr>
      <w:tr w:rsidR="00E27862" w:rsidRPr="00E27862" w14:paraId="2A7D54DF" w14:textId="77777777" w:rsidTr="00CD6E3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E27862" w:rsidRDefault="009D71E8">
            <w:pPr>
              <w:pStyle w:val="TableRow"/>
              <w:rPr>
                <w:color w:val="auto"/>
              </w:rPr>
            </w:pPr>
            <w:r w:rsidRPr="00E27862">
              <w:rPr>
                <w:color w:val="auto"/>
              </w:rPr>
              <w:t>Pupil premium funding carried forward from previous years (enter £0 if 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B4AC7CE" w:rsidR="00E66558" w:rsidRPr="00F954EC" w:rsidRDefault="00F954EC" w:rsidP="00E12837">
            <w:pPr>
              <w:pStyle w:val="TableRow"/>
              <w:rPr>
                <w:color w:val="auto"/>
              </w:rPr>
            </w:pPr>
            <w:r w:rsidRPr="00F954EC">
              <w:rPr>
                <w:color w:val="auto"/>
              </w:rPr>
              <w:t>£56,992</w:t>
            </w:r>
          </w:p>
        </w:tc>
      </w:tr>
      <w:tr w:rsidR="00E27862" w:rsidRPr="00E27862" w14:paraId="2A7D54E3" w14:textId="77777777" w:rsidTr="00CD6E3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pPr>
              <w:pStyle w:val="TableRow"/>
              <w:rPr>
                <w:b/>
                <w:color w:val="auto"/>
              </w:rPr>
            </w:pPr>
            <w:r w:rsidRPr="00E27862">
              <w:rPr>
                <w:b/>
                <w:color w:val="auto"/>
              </w:rPr>
              <w:t>Total budget for this academic year</w:t>
            </w:r>
          </w:p>
          <w:p w14:paraId="2A7D54E1" w14:textId="77777777" w:rsidR="00E66558" w:rsidRPr="00E27862" w:rsidRDefault="009D71E8">
            <w:pPr>
              <w:pStyle w:val="TableRow"/>
              <w:rPr>
                <w:color w:val="auto"/>
              </w:rPr>
            </w:pPr>
            <w:r w:rsidRPr="00E27862">
              <w:rPr>
                <w:color w:val="auto"/>
              </w:rPr>
              <w:t>If your school is an academy in a trust that pools this funding, state the amount available to your school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1516DBC" w:rsidR="00E66558" w:rsidRPr="00F954EC" w:rsidRDefault="00F954EC">
            <w:pPr>
              <w:pStyle w:val="TableRow"/>
              <w:rPr>
                <w:color w:val="auto"/>
              </w:rPr>
            </w:pPr>
            <w:r w:rsidRPr="00F954EC">
              <w:rPr>
                <w:color w:val="auto"/>
              </w:rPr>
              <w:t>£126,073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F83C" w14:textId="0E6DAEDC" w:rsidR="00375F16" w:rsidRDefault="00375F16" w:rsidP="009036FD">
            <w:pPr>
              <w:spacing w:before="120"/>
              <w:jc w:val="both"/>
              <w:rPr>
                <w:rFonts w:cs="Arial"/>
                <w:iCs/>
                <w:color w:val="auto"/>
              </w:rPr>
            </w:pPr>
            <w:r>
              <w:rPr>
                <w:rFonts w:cs="Arial"/>
                <w:iCs/>
                <w:color w:val="auto"/>
              </w:rPr>
              <w:t>At Bartons P</w:t>
            </w:r>
            <w:r w:rsidR="00176D3B">
              <w:rPr>
                <w:rFonts w:cs="Arial"/>
                <w:iCs/>
                <w:color w:val="auto"/>
              </w:rPr>
              <w:t>rimary School</w:t>
            </w:r>
            <w:r>
              <w:rPr>
                <w:rFonts w:cs="Arial"/>
                <w:iCs/>
                <w:color w:val="auto"/>
              </w:rPr>
              <w:t xml:space="preserve"> </w:t>
            </w:r>
            <w:r w:rsidR="009036FD">
              <w:rPr>
                <w:rFonts w:cs="Arial"/>
                <w:iCs/>
                <w:color w:val="auto"/>
              </w:rPr>
              <w:t>our intention</w:t>
            </w:r>
            <w:r w:rsidR="002F5D62">
              <w:rPr>
                <w:rFonts w:cs="Arial"/>
                <w:iCs/>
                <w:color w:val="auto"/>
              </w:rPr>
              <w:t xml:space="preserve"> to ensure that </w:t>
            </w:r>
            <w:r>
              <w:rPr>
                <w:rFonts w:cs="Arial"/>
                <w:iCs/>
                <w:color w:val="auto"/>
              </w:rPr>
              <w:t>all pupils can achieve their full potential</w:t>
            </w:r>
            <w:r w:rsidR="0011319B">
              <w:rPr>
                <w:rFonts w:cs="Arial"/>
                <w:iCs/>
                <w:color w:val="auto"/>
              </w:rPr>
              <w:t xml:space="preserve"> in all areas of school life</w:t>
            </w:r>
            <w:r w:rsidR="009036FD">
              <w:rPr>
                <w:rFonts w:cs="Arial"/>
                <w:iCs/>
                <w:color w:val="auto"/>
              </w:rPr>
              <w:t>,</w:t>
            </w:r>
            <w:r w:rsidR="002F5D62">
              <w:rPr>
                <w:rFonts w:cs="Arial"/>
                <w:iCs/>
                <w:color w:val="auto"/>
              </w:rPr>
              <w:t xml:space="preserve"> irrespective of their background or the challenges they face.  We strive to provide</w:t>
            </w:r>
            <w:r w:rsidR="009036FD">
              <w:rPr>
                <w:rFonts w:cs="Arial"/>
                <w:iCs/>
                <w:color w:val="auto"/>
              </w:rPr>
              <w:t xml:space="preserve"> opportunities for all children to succeed and benefit from an </w:t>
            </w:r>
            <w:r w:rsidR="002F5D62">
              <w:rPr>
                <w:rFonts w:cs="Arial"/>
                <w:iCs/>
                <w:color w:val="auto"/>
              </w:rPr>
              <w:t>enriching curriculum and school experience</w:t>
            </w:r>
            <w:r w:rsidR="009036FD">
              <w:rPr>
                <w:rFonts w:cs="Arial"/>
                <w:iCs/>
                <w:color w:val="auto"/>
              </w:rPr>
              <w:t xml:space="preserve">s, </w:t>
            </w:r>
            <w:r w:rsidR="002F5D62">
              <w:rPr>
                <w:rFonts w:cs="Arial"/>
                <w:iCs/>
                <w:color w:val="auto"/>
              </w:rPr>
              <w:t xml:space="preserve">whilst </w:t>
            </w:r>
            <w:r w:rsidR="009036FD">
              <w:rPr>
                <w:rFonts w:cs="Arial"/>
                <w:iCs/>
                <w:color w:val="auto"/>
              </w:rPr>
              <w:t xml:space="preserve">also </w:t>
            </w:r>
            <w:r w:rsidR="002F5D62">
              <w:rPr>
                <w:rFonts w:cs="Arial"/>
                <w:iCs/>
                <w:color w:val="auto"/>
              </w:rPr>
              <w:t>embe</w:t>
            </w:r>
            <w:r w:rsidR="009036FD">
              <w:rPr>
                <w:rFonts w:cs="Arial"/>
                <w:iCs/>
                <w:color w:val="auto"/>
              </w:rPr>
              <w:t>dding the values of Team Bartons: Independence, Resp</w:t>
            </w:r>
            <w:r w:rsidR="00260FC6">
              <w:rPr>
                <w:rFonts w:cs="Arial"/>
                <w:iCs/>
                <w:color w:val="auto"/>
              </w:rPr>
              <w:t>ect, Communication, Happiness, R</w:t>
            </w:r>
            <w:r w:rsidR="009036FD">
              <w:rPr>
                <w:rFonts w:cs="Arial"/>
                <w:iCs/>
                <w:color w:val="auto"/>
              </w:rPr>
              <w:t xml:space="preserve">esponsibility and Creativity.  </w:t>
            </w:r>
          </w:p>
          <w:p w14:paraId="54FEC6FD" w14:textId="61665E98" w:rsidR="005C123C" w:rsidRDefault="009036FD" w:rsidP="009036FD">
            <w:pPr>
              <w:spacing w:after="120"/>
              <w:jc w:val="both"/>
              <w:rPr>
                <w:rFonts w:cs="Arial"/>
                <w:iCs/>
                <w:color w:val="auto"/>
              </w:rPr>
            </w:pPr>
            <w:r>
              <w:rPr>
                <w:rFonts w:cs="Arial"/>
                <w:iCs/>
                <w:color w:val="auto"/>
              </w:rPr>
              <w:t>The staff at Bartons P</w:t>
            </w:r>
            <w:r w:rsidR="002F5D62">
              <w:rPr>
                <w:rFonts w:cs="Arial"/>
                <w:iCs/>
                <w:color w:val="auto"/>
              </w:rPr>
              <w:t>rima</w:t>
            </w:r>
            <w:r>
              <w:rPr>
                <w:rFonts w:cs="Arial"/>
                <w:iCs/>
                <w:color w:val="auto"/>
              </w:rPr>
              <w:t>ry S</w:t>
            </w:r>
            <w:r w:rsidR="002F5D62">
              <w:rPr>
                <w:rFonts w:cs="Arial"/>
                <w:iCs/>
                <w:color w:val="auto"/>
              </w:rPr>
              <w:t>chool</w:t>
            </w:r>
            <w:r>
              <w:rPr>
                <w:rFonts w:cs="Arial"/>
                <w:iCs/>
                <w:color w:val="auto"/>
              </w:rPr>
              <w:t xml:space="preserve"> share the </w:t>
            </w:r>
            <w:r w:rsidR="002F5D62">
              <w:rPr>
                <w:rFonts w:cs="Arial"/>
                <w:iCs/>
                <w:color w:val="auto"/>
              </w:rPr>
              <w:t>c</w:t>
            </w:r>
            <w:r>
              <w:rPr>
                <w:rFonts w:cs="Arial"/>
                <w:iCs/>
                <w:color w:val="auto"/>
              </w:rPr>
              <w:t>ollective goal to keep all child</w:t>
            </w:r>
            <w:r w:rsidR="002F5D62">
              <w:rPr>
                <w:rFonts w:cs="Arial"/>
                <w:iCs/>
                <w:color w:val="auto"/>
              </w:rPr>
              <w:t xml:space="preserve">ren safe and to support them academically and emotionally. </w:t>
            </w:r>
            <w:r>
              <w:rPr>
                <w:rFonts w:cs="Arial"/>
                <w:iCs/>
                <w:color w:val="auto"/>
                <w:lang w:val="en-US"/>
              </w:rPr>
              <w:t xml:space="preserve">  </w:t>
            </w:r>
            <w:r>
              <w:rPr>
                <w:rFonts w:cs="Arial"/>
                <w:iCs/>
                <w:color w:val="auto"/>
              </w:rPr>
              <w:t xml:space="preserve">We </w:t>
            </w:r>
            <w:r w:rsidRPr="00E27862">
              <w:rPr>
                <w:rFonts w:cs="Arial"/>
                <w:color w:val="auto"/>
              </w:rPr>
              <w:t xml:space="preserve">adopt a whole school </w:t>
            </w:r>
            <w:r w:rsidR="00260FC6">
              <w:rPr>
                <w:rFonts w:cs="Arial"/>
                <w:color w:val="auto"/>
              </w:rPr>
              <w:t xml:space="preserve">inclusive </w:t>
            </w:r>
            <w:r w:rsidRPr="00E27862">
              <w:rPr>
                <w:rFonts w:cs="Arial"/>
                <w:color w:val="auto"/>
              </w:rPr>
              <w:t>approach in which all staff take responsibility for disadvantaged pupils’ outcomes and raise expectations of what they can achieve</w:t>
            </w:r>
            <w:r>
              <w:rPr>
                <w:rFonts w:cs="Arial"/>
                <w:iCs/>
                <w:color w:val="0070C0"/>
                <w:lang w:val="en-US"/>
              </w:rPr>
              <w:t xml:space="preserve">.  </w:t>
            </w:r>
            <w:r>
              <w:t>In order to narrow the attainment gaps between disadvantaged pupils and their non-disadvantaged counterparts both within school and nationally</w:t>
            </w:r>
            <w:r>
              <w:rPr>
                <w:rFonts w:cs="Arial"/>
                <w:iCs/>
                <w:color w:val="auto"/>
              </w:rPr>
              <w:t>, w</w:t>
            </w:r>
            <w:r w:rsidR="002F5D62">
              <w:rPr>
                <w:rFonts w:cs="Arial"/>
                <w:iCs/>
                <w:color w:val="auto"/>
              </w:rPr>
              <w:t xml:space="preserve">e are committed to </w:t>
            </w:r>
            <w:r>
              <w:rPr>
                <w:rFonts w:cs="Arial"/>
                <w:iCs/>
                <w:color w:val="auto"/>
              </w:rPr>
              <w:t>early identification, recognition</w:t>
            </w:r>
            <w:r w:rsidR="002F5D62">
              <w:rPr>
                <w:rFonts w:cs="Arial"/>
                <w:iCs/>
                <w:color w:val="auto"/>
              </w:rPr>
              <w:t xml:space="preserve"> and </w:t>
            </w:r>
            <w:r>
              <w:rPr>
                <w:rFonts w:cs="Arial"/>
                <w:iCs/>
                <w:color w:val="auto"/>
              </w:rPr>
              <w:t xml:space="preserve">the removal of potential </w:t>
            </w:r>
            <w:r w:rsidR="002F5D62">
              <w:rPr>
                <w:rFonts w:cs="Arial"/>
                <w:iCs/>
                <w:color w:val="auto"/>
              </w:rPr>
              <w:t xml:space="preserve">barriers to </w:t>
            </w:r>
            <w:r>
              <w:rPr>
                <w:rFonts w:cs="Arial"/>
                <w:iCs/>
                <w:color w:val="auto"/>
              </w:rPr>
              <w:t>learning. All staff apply the principles of Ordinarily Availab</w:t>
            </w:r>
            <w:r w:rsidR="00260FC6">
              <w:rPr>
                <w:rFonts w:cs="Arial"/>
                <w:iCs/>
                <w:color w:val="auto"/>
              </w:rPr>
              <w:t>le Inclusive Practice (OAIP) fro</w:t>
            </w:r>
            <w:r>
              <w:rPr>
                <w:rFonts w:cs="Arial"/>
                <w:iCs/>
                <w:color w:val="auto"/>
              </w:rPr>
              <w:t xml:space="preserve">m West Sussex County Council. </w:t>
            </w:r>
          </w:p>
          <w:p w14:paraId="1A0EDC77" w14:textId="5CF483F4" w:rsidR="00375F16" w:rsidRDefault="009036FD" w:rsidP="005C123C">
            <w:pPr>
              <w:spacing w:after="120"/>
              <w:jc w:val="both"/>
            </w:pPr>
            <w:r>
              <w:rPr>
                <w:rFonts w:cs="Arial"/>
                <w:iCs/>
                <w:color w:val="auto"/>
                <w:lang w:val="en-US"/>
              </w:rPr>
              <w:t xml:space="preserve">The approaches identified in this strategy are based on the common challenges faced by disadvantaged pupils, our </w:t>
            </w:r>
            <w:r w:rsidR="005C123C">
              <w:rPr>
                <w:rFonts w:cs="Arial"/>
                <w:iCs/>
                <w:color w:val="auto"/>
                <w:lang w:val="en-US"/>
              </w:rPr>
              <w:t>knowledge</w:t>
            </w:r>
            <w:r>
              <w:rPr>
                <w:rFonts w:cs="Arial"/>
                <w:iCs/>
                <w:color w:val="auto"/>
                <w:lang w:val="en-US"/>
              </w:rPr>
              <w:t xml:space="preserve"> of individual pupil needs identified through teacher assessments and observations</w:t>
            </w:r>
            <w:r w:rsidR="00A66955">
              <w:rPr>
                <w:rFonts w:cs="Arial"/>
                <w:iCs/>
                <w:color w:val="auto"/>
                <w:lang w:val="en-US"/>
              </w:rPr>
              <w:t>,</w:t>
            </w:r>
            <w:r>
              <w:rPr>
                <w:rFonts w:cs="Arial"/>
                <w:iCs/>
                <w:color w:val="auto"/>
                <w:lang w:val="en-US"/>
              </w:rPr>
              <w:t xml:space="preserve"> as well as </w:t>
            </w:r>
            <w:r w:rsidR="005C123C">
              <w:rPr>
                <w:rFonts w:cs="Arial"/>
                <w:iCs/>
                <w:color w:val="auto"/>
                <w:lang w:val="en-US"/>
              </w:rPr>
              <w:t xml:space="preserve">information gained from </w:t>
            </w:r>
            <w:r>
              <w:rPr>
                <w:rFonts w:cs="Arial"/>
                <w:iCs/>
                <w:color w:val="auto"/>
                <w:lang w:val="en-US"/>
              </w:rPr>
              <w:t>robust diagnostic assessment</w:t>
            </w:r>
            <w:r w:rsidR="005C123C">
              <w:rPr>
                <w:rFonts w:cs="Arial"/>
                <w:iCs/>
                <w:color w:val="auto"/>
                <w:lang w:val="en-US"/>
              </w:rPr>
              <w:t>s</w:t>
            </w:r>
            <w:r>
              <w:rPr>
                <w:rFonts w:cs="Arial"/>
                <w:iCs/>
                <w:color w:val="auto"/>
                <w:lang w:val="en-US"/>
              </w:rPr>
              <w:t>.</w:t>
            </w:r>
            <w:r w:rsidR="005C123C">
              <w:rPr>
                <w:rFonts w:cs="Arial"/>
                <w:iCs/>
                <w:color w:val="auto"/>
                <w:lang w:val="en-US"/>
              </w:rPr>
              <w:t xml:space="preserve"> </w:t>
            </w:r>
            <w:r w:rsidR="00C009DA" w:rsidRPr="00E27862">
              <w:rPr>
                <w:rFonts w:cs="Arial"/>
                <w:iCs/>
                <w:color w:val="auto"/>
                <w:lang w:val="en-US"/>
              </w:rPr>
              <w:t>High-quality teaching i</w:t>
            </w:r>
            <w:r w:rsidR="005C123C">
              <w:rPr>
                <w:rFonts w:cs="Arial"/>
                <w:iCs/>
                <w:color w:val="auto"/>
                <w:lang w:val="en-US"/>
              </w:rPr>
              <w:t xml:space="preserve">s at the heart of our approach. </w:t>
            </w:r>
            <w:r w:rsidR="00C009DA" w:rsidRPr="00E27862">
              <w:rPr>
                <w:rFonts w:cs="Arial"/>
                <w:iCs/>
                <w:color w:val="auto"/>
                <w:lang w:val="en-US"/>
              </w:rPr>
              <w:t xml:space="preserve">This is proven to have the greatest impact on closing the disadvantage attainment gap and at the same time will benefit the non-disadvantaged pupils in our school. </w:t>
            </w:r>
            <w:r w:rsidR="00E1485C">
              <w:rPr>
                <w:rFonts w:cs="Arial"/>
                <w:iCs/>
                <w:color w:val="auto"/>
                <w:lang w:val="en-US"/>
              </w:rPr>
              <w:t xml:space="preserve"> Additional </w:t>
            </w:r>
            <w:r w:rsidR="005C123C">
              <w:rPr>
                <w:rFonts w:cs="Arial"/>
                <w:iCs/>
                <w:color w:val="auto"/>
                <w:lang w:val="en-US"/>
              </w:rPr>
              <w:t>targeted interventions and 1:1 or small group School-led tutoring also form part</w:t>
            </w:r>
            <w:r w:rsidR="00260FC6">
              <w:rPr>
                <w:rFonts w:cs="Arial"/>
                <w:iCs/>
                <w:color w:val="auto"/>
                <w:lang w:val="en-US"/>
              </w:rPr>
              <w:t xml:space="preserve"> of the strategy to ensure the</w:t>
            </w:r>
            <w:r w:rsidR="005C123C">
              <w:rPr>
                <w:rFonts w:cs="Arial"/>
                <w:iCs/>
                <w:color w:val="auto"/>
                <w:lang w:val="en-US"/>
              </w:rPr>
              <w:t xml:space="preserve"> recovery for those pupils whose education</w:t>
            </w:r>
            <w:r w:rsidR="00E1485C">
              <w:rPr>
                <w:rFonts w:cs="Arial"/>
                <w:iCs/>
                <w:color w:val="auto"/>
                <w:lang w:val="en-US"/>
              </w:rPr>
              <w:t xml:space="preserve"> has been worst affected</w:t>
            </w:r>
            <w:r w:rsidR="005C123C">
              <w:rPr>
                <w:rFonts w:cs="Arial"/>
                <w:iCs/>
                <w:color w:val="auto"/>
                <w:lang w:val="en-US"/>
              </w:rPr>
              <w:t xml:space="preserve"> by the pandemic. </w:t>
            </w:r>
            <w:r>
              <w:t xml:space="preserve"> Alongside academi</w:t>
            </w:r>
            <w:r w:rsidR="005C123C">
              <w:t xml:space="preserve">c support, we will ensure that </w:t>
            </w:r>
            <w:r>
              <w:t>pupils who have social, emotional and mental health needs will access high quality provision from appropriately trained adults</w:t>
            </w:r>
            <w:r w:rsidR="005C123C">
              <w:t>.</w:t>
            </w:r>
          </w:p>
          <w:p w14:paraId="55192581" w14:textId="3D0A8ACA" w:rsidR="005C123C" w:rsidRDefault="005C123C" w:rsidP="005C123C">
            <w:pPr>
              <w:spacing w:after="120"/>
              <w:jc w:val="both"/>
            </w:pPr>
          </w:p>
          <w:p w14:paraId="587B49B0" w14:textId="0E3EBB35" w:rsidR="005C123C" w:rsidRDefault="005C123C" w:rsidP="005C123C">
            <w:pPr>
              <w:spacing w:after="120"/>
              <w:jc w:val="both"/>
            </w:pPr>
          </w:p>
          <w:p w14:paraId="17A08858" w14:textId="10E4535A" w:rsidR="005C123C" w:rsidRDefault="005C123C" w:rsidP="005C123C">
            <w:pPr>
              <w:spacing w:after="120"/>
              <w:jc w:val="both"/>
            </w:pPr>
          </w:p>
          <w:p w14:paraId="225E4E2F" w14:textId="72AF9BF7" w:rsidR="005C123C" w:rsidRDefault="005C123C" w:rsidP="005C123C">
            <w:pPr>
              <w:spacing w:after="120"/>
              <w:jc w:val="both"/>
            </w:pPr>
          </w:p>
          <w:p w14:paraId="55FF3902" w14:textId="357FAA02" w:rsidR="005C123C" w:rsidRDefault="005C123C" w:rsidP="005C123C">
            <w:pPr>
              <w:spacing w:after="120"/>
              <w:jc w:val="both"/>
            </w:pPr>
          </w:p>
          <w:p w14:paraId="7DA9DF0C" w14:textId="1C3FF82E" w:rsidR="005C123C" w:rsidRDefault="005C123C" w:rsidP="005C123C">
            <w:pPr>
              <w:spacing w:after="120"/>
              <w:jc w:val="both"/>
            </w:pPr>
          </w:p>
          <w:p w14:paraId="5D20BC40" w14:textId="77777777" w:rsidR="005C123C" w:rsidRDefault="005C123C" w:rsidP="005C123C">
            <w:pPr>
              <w:spacing w:after="120"/>
              <w:jc w:val="both"/>
            </w:pPr>
          </w:p>
          <w:p w14:paraId="778C4655" w14:textId="77777777" w:rsidR="005C123C" w:rsidRDefault="005C123C" w:rsidP="005C123C">
            <w:pPr>
              <w:spacing w:after="120"/>
              <w:jc w:val="both"/>
            </w:pPr>
          </w:p>
          <w:p w14:paraId="2A7D54E9" w14:textId="6EF63CED" w:rsidR="005C123C" w:rsidRPr="005C123C" w:rsidRDefault="005C123C" w:rsidP="005C123C">
            <w:pPr>
              <w:spacing w:after="120"/>
              <w:jc w:val="both"/>
              <w:rPr>
                <w:rFonts w:cs="Arial"/>
                <w:iCs/>
                <w:color w:val="auto"/>
                <w:lang w:val="en-US"/>
              </w:rPr>
            </w:pPr>
          </w:p>
        </w:tc>
      </w:tr>
    </w:tbl>
    <w:p w14:paraId="2A7D54EB" w14:textId="464474D4" w:rsidR="00E66558" w:rsidRDefault="009D71E8">
      <w:pPr>
        <w:pStyle w:val="Heading2"/>
        <w:spacing w:before="600"/>
      </w:pPr>
      <w:r>
        <w:lastRenderedPageBreak/>
        <w:t>Challenges</w:t>
      </w:r>
    </w:p>
    <w:p w14:paraId="2A7D54EC" w14:textId="77777777" w:rsidR="00E66558" w:rsidRDefault="009D71E8" w:rsidP="00614FA5">
      <w:pPr>
        <w:spacing w:before="120" w:line="240" w:lineRule="auto"/>
        <w:ind w:right="-2"/>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228" w:type="pct"/>
        <w:tblCellMar>
          <w:left w:w="10" w:type="dxa"/>
          <w:right w:w="10" w:type="dxa"/>
        </w:tblCellMar>
        <w:tblLook w:val="04A0" w:firstRow="1" w:lastRow="0" w:firstColumn="1" w:lastColumn="0" w:noHBand="0" w:noVBand="1"/>
      </w:tblPr>
      <w:tblGrid>
        <w:gridCol w:w="1477"/>
        <w:gridCol w:w="8442"/>
      </w:tblGrid>
      <w:tr w:rsidR="00E66558" w14:paraId="2A7D54EF" w14:textId="77777777" w:rsidTr="0012390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D845B1" w14:paraId="54E2AA9E" w14:textId="77777777" w:rsidTr="0012390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0D4F7C" w14:textId="78103332" w:rsidR="00D845B1" w:rsidRDefault="00D845B1">
            <w:pPr>
              <w:pStyle w:val="TableHeader"/>
              <w:jc w:val="left"/>
            </w:pPr>
            <w:r>
              <w:t>1</w:t>
            </w:r>
          </w:p>
        </w:tc>
        <w:tc>
          <w:tcPr>
            <w:tcW w:w="8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F01BF" w14:textId="33953075" w:rsidR="0011319B" w:rsidRPr="006802BE" w:rsidRDefault="0025476C" w:rsidP="00F954EC">
            <w:pPr>
              <w:pStyle w:val="TableRow"/>
              <w:rPr>
                <w:rFonts w:cs="Arial"/>
              </w:rPr>
            </w:pPr>
            <w:r w:rsidRPr="006802BE">
              <w:rPr>
                <w:rFonts w:cs="Arial"/>
                <w:iCs/>
                <w:color w:val="auto"/>
                <w:lang w:val="en-US"/>
              </w:rPr>
              <w:t xml:space="preserve">Pupils’ </w:t>
            </w:r>
            <w:r w:rsidR="00123907" w:rsidRPr="006802BE">
              <w:rPr>
                <w:rFonts w:cs="Arial"/>
                <w:iCs/>
                <w:color w:val="auto"/>
                <w:lang w:val="en-US"/>
              </w:rPr>
              <w:t xml:space="preserve">language and communication </w:t>
            </w:r>
            <w:r w:rsidR="00123907" w:rsidRPr="00F954EC">
              <w:rPr>
                <w:rFonts w:cs="Arial"/>
                <w:iCs/>
                <w:color w:val="auto"/>
                <w:lang w:val="en-US"/>
              </w:rPr>
              <w:t xml:space="preserve">skills are </w:t>
            </w:r>
            <w:r w:rsidR="006802BE" w:rsidRPr="00F954EC">
              <w:rPr>
                <w:rFonts w:cs="Arial"/>
                <w:iCs/>
                <w:color w:val="auto"/>
                <w:lang w:val="en-US"/>
              </w:rPr>
              <w:t>underdeveloped</w:t>
            </w:r>
            <w:r w:rsidR="006802BE" w:rsidRPr="006802BE">
              <w:rPr>
                <w:rFonts w:cs="Arial"/>
                <w:iCs/>
                <w:color w:val="auto"/>
                <w:lang w:val="en-US"/>
              </w:rPr>
              <w:t xml:space="preserve"> </w:t>
            </w:r>
            <w:r w:rsidR="00123907" w:rsidRPr="006802BE">
              <w:rPr>
                <w:rFonts w:cs="Arial"/>
                <w:iCs/>
                <w:color w:val="auto"/>
                <w:lang w:val="en-US"/>
              </w:rPr>
              <w:t>when starting sc</w:t>
            </w:r>
            <w:r w:rsidR="00F93CE6" w:rsidRPr="006802BE">
              <w:rPr>
                <w:rFonts w:cs="Arial"/>
                <w:iCs/>
                <w:color w:val="auto"/>
                <w:lang w:val="en-US"/>
              </w:rPr>
              <w:t>hool. This needs to be prioritis</w:t>
            </w:r>
            <w:r w:rsidR="00123907" w:rsidRPr="006802BE">
              <w:rPr>
                <w:rFonts w:cs="Arial"/>
                <w:iCs/>
                <w:color w:val="auto"/>
                <w:lang w:val="en-US"/>
              </w:rPr>
              <w:t xml:space="preserve">ed in the EYFS and throughout </w:t>
            </w:r>
            <w:r w:rsidR="00123907" w:rsidRPr="006802BE">
              <w:rPr>
                <w:rFonts w:cs="Arial"/>
              </w:rPr>
              <w:t>KS1 with targeted intervention for those who are identified at risk.</w:t>
            </w:r>
          </w:p>
        </w:tc>
      </w:tr>
      <w:tr w:rsidR="00D845B1" w14:paraId="33A3E27C" w14:textId="77777777" w:rsidTr="0012390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ADB84" w14:textId="2393FDE5" w:rsidR="00D845B1" w:rsidRDefault="00123907">
            <w:pPr>
              <w:pStyle w:val="TableHeader"/>
              <w:jc w:val="left"/>
            </w:pPr>
            <w:r>
              <w:t>2</w:t>
            </w:r>
          </w:p>
        </w:tc>
        <w:tc>
          <w:tcPr>
            <w:tcW w:w="8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945C41" w14:textId="1318A22E" w:rsidR="00D845B1" w:rsidRPr="0025476C" w:rsidRDefault="0025476C" w:rsidP="0025476C">
            <w:pPr>
              <w:pStyle w:val="TableRow"/>
              <w:rPr>
                <w:rFonts w:cs="Arial"/>
              </w:rPr>
            </w:pPr>
            <w:r>
              <w:rPr>
                <w:rFonts w:cs="Arial"/>
                <w:iCs/>
                <w:color w:val="auto"/>
                <w:lang w:val="en-US"/>
              </w:rPr>
              <w:t xml:space="preserve">Pupils’ vocabulary is limited on entry to school and </w:t>
            </w:r>
            <w:r w:rsidR="005C123C">
              <w:rPr>
                <w:rFonts w:cs="Arial"/>
                <w:iCs/>
                <w:color w:val="auto"/>
                <w:lang w:val="en-US"/>
              </w:rPr>
              <w:t>across all age group</w:t>
            </w:r>
            <w:r w:rsidR="00EB2483">
              <w:rPr>
                <w:rFonts w:cs="Arial"/>
                <w:iCs/>
                <w:color w:val="auto"/>
                <w:lang w:val="en-US"/>
              </w:rPr>
              <w:t>s – most commonly in SEND and pupils eligible for pupil premium</w:t>
            </w:r>
            <w:r w:rsidR="005C123C">
              <w:rPr>
                <w:rFonts w:cs="Arial"/>
                <w:iCs/>
                <w:color w:val="auto"/>
                <w:lang w:val="en-US"/>
              </w:rPr>
              <w:t>.</w:t>
            </w:r>
            <w:r>
              <w:rPr>
                <w:rFonts w:cs="Arial"/>
                <w:iCs/>
                <w:color w:val="auto"/>
                <w:lang w:val="en-US"/>
              </w:rPr>
              <w:t xml:space="preserve"> This does not develop quickly du</w:t>
            </w:r>
            <w:r w:rsidR="00123907">
              <w:rPr>
                <w:rFonts w:cs="Arial"/>
                <w:iCs/>
                <w:color w:val="auto"/>
                <w:lang w:val="en-US"/>
              </w:rPr>
              <w:t>e to the lack o</w:t>
            </w:r>
            <w:r>
              <w:rPr>
                <w:rFonts w:cs="Arial"/>
                <w:iCs/>
                <w:color w:val="auto"/>
                <w:lang w:val="en-US"/>
              </w:rPr>
              <w:t xml:space="preserve">f exposure to the wider world and needs to be explicitly taught as part of the curriculum. </w:t>
            </w:r>
          </w:p>
        </w:tc>
      </w:tr>
      <w:tr w:rsidR="00123907" w14:paraId="7160DA4A" w14:textId="77777777" w:rsidTr="0012390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A1B9B" w14:textId="2C52E3FF" w:rsidR="00123907" w:rsidRDefault="0025476C">
            <w:pPr>
              <w:pStyle w:val="TableHeader"/>
              <w:jc w:val="left"/>
            </w:pPr>
            <w:r>
              <w:t>3</w:t>
            </w:r>
          </w:p>
        </w:tc>
        <w:tc>
          <w:tcPr>
            <w:tcW w:w="8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1D0B7" w14:textId="0A85193A" w:rsidR="00123907" w:rsidRPr="0025476C" w:rsidRDefault="0025476C" w:rsidP="00614FA5">
            <w:pPr>
              <w:pStyle w:val="TableHeader"/>
              <w:ind w:left="0"/>
              <w:jc w:val="left"/>
              <w:rPr>
                <w:b w:val="0"/>
                <w:color w:val="auto"/>
                <w:lang w:val="en-US"/>
              </w:rPr>
            </w:pPr>
            <w:r>
              <w:rPr>
                <w:b w:val="0"/>
                <w:color w:val="auto"/>
                <w:lang w:val="en-US"/>
              </w:rPr>
              <w:t>Disadvantaged p</w:t>
            </w:r>
            <w:r w:rsidR="00123907" w:rsidRPr="0025476C">
              <w:rPr>
                <w:b w:val="0"/>
                <w:color w:val="auto"/>
                <w:lang w:val="en-US"/>
              </w:rPr>
              <w:t>upils generally have greater difficulties with phonics than their peers. This negatively impacts their development as readers.</w:t>
            </w:r>
            <w:r w:rsidRPr="0025476C">
              <w:rPr>
                <w:b w:val="0"/>
                <w:color w:val="auto"/>
                <w:lang w:val="en-US"/>
              </w:rPr>
              <w:t xml:space="preserve"> </w:t>
            </w:r>
            <w:r w:rsidR="00614FA5">
              <w:rPr>
                <w:b w:val="0"/>
                <w:color w:val="auto"/>
                <w:lang w:val="en-US"/>
              </w:rPr>
              <w:t xml:space="preserve">Attainment in reading, particularly at the GDS standard is inconsistent across the rest of the school.  </w:t>
            </w:r>
            <w:r w:rsidR="00122F6B">
              <w:rPr>
                <w:b w:val="0"/>
                <w:color w:val="auto"/>
                <w:lang w:val="en-US"/>
              </w:rPr>
              <w:t xml:space="preserve">The maintenance of the robust phonics programme and work on whole class guided reading must continue to be prioritised. </w:t>
            </w:r>
          </w:p>
        </w:tc>
      </w:tr>
      <w:tr w:rsidR="00122F6B" w14:paraId="1A19301E" w14:textId="77777777" w:rsidTr="0012390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2C9C7B" w14:textId="7C41E818" w:rsidR="00122F6B" w:rsidRDefault="00122F6B">
            <w:pPr>
              <w:pStyle w:val="TableHeader"/>
              <w:jc w:val="left"/>
            </w:pPr>
            <w:r>
              <w:t>4</w:t>
            </w:r>
          </w:p>
        </w:tc>
        <w:tc>
          <w:tcPr>
            <w:tcW w:w="8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BDEA5" w14:textId="12AC32D0" w:rsidR="00122F6B" w:rsidRPr="00122F6B" w:rsidRDefault="00614FA5" w:rsidP="00122F6B">
            <w:pPr>
              <w:pStyle w:val="TableHeader"/>
              <w:ind w:left="0"/>
              <w:jc w:val="left"/>
              <w:rPr>
                <w:b w:val="0"/>
              </w:rPr>
            </w:pPr>
            <w:r>
              <w:rPr>
                <w:b w:val="0"/>
              </w:rPr>
              <w:t xml:space="preserve">Low </w:t>
            </w:r>
            <w:r w:rsidR="00EB2483">
              <w:rPr>
                <w:b w:val="0"/>
              </w:rPr>
              <w:t>levels of writing attainment within disadvantaged</w:t>
            </w:r>
            <w:r w:rsidR="00122F6B">
              <w:rPr>
                <w:b w:val="0"/>
              </w:rPr>
              <w:t xml:space="preserve"> cohorts and the gap between </w:t>
            </w:r>
            <w:r>
              <w:rPr>
                <w:b w:val="0"/>
              </w:rPr>
              <w:t xml:space="preserve">them and </w:t>
            </w:r>
            <w:r w:rsidR="00122F6B">
              <w:rPr>
                <w:b w:val="0"/>
              </w:rPr>
              <w:t xml:space="preserve">their peers </w:t>
            </w:r>
            <w:r>
              <w:rPr>
                <w:b w:val="0"/>
              </w:rPr>
              <w:t xml:space="preserve">was </w:t>
            </w:r>
            <w:r w:rsidR="00122F6B">
              <w:rPr>
                <w:b w:val="0"/>
              </w:rPr>
              <w:t xml:space="preserve">further impacted by school closure. </w:t>
            </w:r>
            <w:r>
              <w:rPr>
                <w:b w:val="0"/>
              </w:rPr>
              <w:t>Overall</w:t>
            </w:r>
            <w:r w:rsidR="00F93CE6">
              <w:rPr>
                <w:b w:val="0"/>
              </w:rPr>
              <w:t>,</w:t>
            </w:r>
            <w:r>
              <w:rPr>
                <w:b w:val="0"/>
              </w:rPr>
              <w:t xml:space="preserve"> p</w:t>
            </w:r>
            <w:r w:rsidR="00122F6B">
              <w:rPr>
                <w:b w:val="0"/>
              </w:rPr>
              <w:t xml:space="preserve">upils achieve well by the end of KS2 but fail to convert to greater depth standard due to gaps in their knowledge. Daily high impact initial teaching of writing is essential. </w:t>
            </w:r>
          </w:p>
        </w:tc>
      </w:tr>
      <w:tr w:rsidR="00122F6B" w14:paraId="4AE756D4" w14:textId="77777777" w:rsidTr="0012390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65EDB4" w14:textId="6CB6FA7E" w:rsidR="00122F6B" w:rsidRDefault="00122F6B">
            <w:pPr>
              <w:pStyle w:val="TableHeader"/>
              <w:jc w:val="left"/>
            </w:pPr>
            <w:r>
              <w:t>5</w:t>
            </w:r>
          </w:p>
        </w:tc>
        <w:tc>
          <w:tcPr>
            <w:tcW w:w="8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0721" w14:textId="4A8DBFDF" w:rsidR="00122F6B" w:rsidRDefault="00614FA5" w:rsidP="00614FA5">
            <w:pPr>
              <w:pStyle w:val="TableHeader"/>
              <w:ind w:left="0"/>
              <w:jc w:val="left"/>
              <w:rPr>
                <w:b w:val="0"/>
              </w:rPr>
            </w:pPr>
            <w:r>
              <w:rPr>
                <w:b w:val="0"/>
              </w:rPr>
              <w:t>L</w:t>
            </w:r>
            <w:r w:rsidR="00122F6B">
              <w:rPr>
                <w:b w:val="0"/>
              </w:rPr>
              <w:t>ow leve</w:t>
            </w:r>
            <w:r w:rsidR="00EB2483">
              <w:rPr>
                <w:b w:val="0"/>
              </w:rPr>
              <w:t>ls of Maths attainment within pupil premium</w:t>
            </w:r>
            <w:r w:rsidR="00122F6B">
              <w:rPr>
                <w:b w:val="0"/>
              </w:rPr>
              <w:t xml:space="preserve"> cohorts and the gap between </w:t>
            </w:r>
            <w:r>
              <w:rPr>
                <w:b w:val="0"/>
              </w:rPr>
              <w:t xml:space="preserve">them and </w:t>
            </w:r>
            <w:r w:rsidR="00122F6B">
              <w:rPr>
                <w:b w:val="0"/>
              </w:rPr>
              <w:t xml:space="preserve">their peers </w:t>
            </w:r>
            <w:r>
              <w:rPr>
                <w:b w:val="0"/>
              </w:rPr>
              <w:t xml:space="preserve">was </w:t>
            </w:r>
            <w:r w:rsidR="00122F6B">
              <w:rPr>
                <w:b w:val="0"/>
              </w:rPr>
              <w:t>further impacted by school closure.</w:t>
            </w:r>
            <w:r>
              <w:rPr>
                <w:b w:val="0"/>
              </w:rPr>
              <w:t xml:space="preserve"> Attainment in maths is inconsistent across the school.  </w:t>
            </w:r>
            <w:r w:rsidR="00122F6B">
              <w:rPr>
                <w:b w:val="0"/>
              </w:rPr>
              <w:t>D</w:t>
            </w:r>
            <w:r>
              <w:rPr>
                <w:b w:val="0"/>
              </w:rPr>
              <w:t>aily h</w:t>
            </w:r>
            <w:r w:rsidR="00122F6B">
              <w:rPr>
                <w:b w:val="0"/>
              </w:rPr>
              <w:t xml:space="preserve">igh </w:t>
            </w:r>
            <w:r>
              <w:rPr>
                <w:b w:val="0"/>
              </w:rPr>
              <w:t xml:space="preserve">impact initial teaching </w:t>
            </w:r>
            <w:r w:rsidR="00122F6B">
              <w:rPr>
                <w:b w:val="0"/>
              </w:rPr>
              <w:t xml:space="preserve">and work on </w:t>
            </w:r>
            <w:r>
              <w:rPr>
                <w:b w:val="0"/>
              </w:rPr>
              <w:t xml:space="preserve">mastery, </w:t>
            </w:r>
            <w:r w:rsidR="00122F6B">
              <w:rPr>
                <w:b w:val="0"/>
              </w:rPr>
              <w:t>fluency and number</w:t>
            </w:r>
            <w:r>
              <w:rPr>
                <w:b w:val="0"/>
              </w:rPr>
              <w:t xml:space="preserve"> sense are crucial. </w:t>
            </w:r>
          </w:p>
        </w:tc>
      </w:tr>
      <w:tr w:rsidR="00176D3B" w14:paraId="702811FC" w14:textId="77777777" w:rsidTr="0012390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F83511" w14:textId="39D42C42" w:rsidR="00176D3B" w:rsidRPr="003A6D41" w:rsidRDefault="003A6D41" w:rsidP="00176D3B">
            <w:pPr>
              <w:pStyle w:val="TableHeader"/>
              <w:jc w:val="left"/>
            </w:pPr>
            <w:r w:rsidRPr="003A6D41">
              <w:t>6</w:t>
            </w:r>
          </w:p>
        </w:tc>
        <w:tc>
          <w:tcPr>
            <w:tcW w:w="8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CF0566" w14:textId="77777777" w:rsidR="00B54BCB" w:rsidRPr="00702BF1" w:rsidRDefault="00B54BCB" w:rsidP="00B54BCB">
            <w:pPr>
              <w:suppressAutoHyphens w:val="0"/>
              <w:autoSpaceDN/>
              <w:spacing w:before="60" w:after="120" w:line="240" w:lineRule="auto"/>
              <w:ind w:left="57" w:right="57"/>
              <w:rPr>
                <w:rFonts w:cs="Arial"/>
                <w:iCs/>
                <w:color w:val="auto"/>
                <w:lang w:val="en-US"/>
              </w:rPr>
            </w:pPr>
            <w:r w:rsidRPr="00C07B8C">
              <w:rPr>
                <w:rFonts w:cs="Arial"/>
                <w:iCs/>
                <w:color w:val="auto"/>
                <w:lang w:val="en-US"/>
              </w:rPr>
              <w:t>Our</w:t>
            </w:r>
            <w:r>
              <w:rPr>
                <w:rFonts w:cs="Arial"/>
                <w:iCs/>
                <w:color w:val="auto"/>
                <w:lang w:val="en-US"/>
              </w:rPr>
              <w:t xml:space="preserve"> attendance data for the 2020-2021 indicates that absence</w:t>
            </w:r>
            <w:r w:rsidRPr="00C07B8C">
              <w:rPr>
                <w:rFonts w:cs="Arial"/>
                <w:iCs/>
                <w:color w:val="auto"/>
                <w:lang w:val="en-US"/>
              </w:rPr>
              <w:t xml:space="preserve"> among disadvantaged </w:t>
            </w:r>
            <w:r w:rsidRPr="00702BF1">
              <w:rPr>
                <w:rFonts w:cs="Arial"/>
                <w:iCs/>
                <w:color w:val="auto"/>
                <w:lang w:val="en-US"/>
              </w:rPr>
              <w:t xml:space="preserve">pupils was 4.34% this is higher than for non-disadvantaged pupils at 2.67%    (Last reported </w:t>
            </w:r>
            <w:r>
              <w:rPr>
                <w:rFonts w:cs="Arial"/>
                <w:iCs/>
                <w:color w:val="auto"/>
                <w:lang w:val="en-US"/>
              </w:rPr>
              <w:t>national figure published in</w:t>
            </w:r>
            <w:r w:rsidRPr="00702BF1">
              <w:rPr>
                <w:rFonts w:cs="Arial"/>
                <w:iCs/>
                <w:color w:val="auto"/>
                <w:lang w:val="en-US"/>
              </w:rPr>
              <w:t xml:space="preserve"> 2018-2019 4.7%)</w:t>
            </w:r>
          </w:p>
          <w:p w14:paraId="1C0EF625" w14:textId="77777777" w:rsidR="00B54BCB" w:rsidRPr="001B4F52" w:rsidRDefault="00B54BCB" w:rsidP="00B54BCB">
            <w:pPr>
              <w:suppressAutoHyphens w:val="0"/>
              <w:autoSpaceDN/>
              <w:spacing w:before="60" w:after="120" w:line="240" w:lineRule="auto"/>
              <w:ind w:right="57"/>
              <w:rPr>
                <w:rFonts w:cs="Arial"/>
                <w:iCs/>
                <w:color w:val="auto"/>
                <w:highlight w:val="yellow"/>
                <w:lang w:val="en-US"/>
              </w:rPr>
            </w:pPr>
            <w:r>
              <w:rPr>
                <w:rFonts w:cs="Arial"/>
                <w:iCs/>
                <w:color w:val="auto"/>
                <w:lang w:val="en-US"/>
              </w:rPr>
              <w:t>14.9</w:t>
            </w:r>
            <w:r w:rsidRPr="00702BF1">
              <w:rPr>
                <w:rFonts w:cs="Arial"/>
                <w:iCs/>
                <w:color w:val="auto"/>
                <w:lang w:val="en-US"/>
              </w:rPr>
              <w:t>% of disadvantaged pupils have been ‘persistently absent’ compared to</w:t>
            </w:r>
            <w:r>
              <w:rPr>
                <w:rFonts w:cs="Arial"/>
                <w:iCs/>
                <w:color w:val="auto"/>
                <w:lang w:val="en-US"/>
              </w:rPr>
              <w:t xml:space="preserve"> 3.1</w:t>
            </w:r>
            <w:r w:rsidRPr="00702BF1">
              <w:rPr>
                <w:rFonts w:cs="Arial"/>
                <w:iCs/>
                <w:color w:val="auto"/>
                <w:lang w:val="en-US"/>
              </w:rPr>
              <w:t xml:space="preserve">% of their peers during that period. </w:t>
            </w:r>
            <w:r>
              <w:rPr>
                <w:rFonts w:cs="Arial"/>
                <w:iCs/>
                <w:color w:val="auto"/>
                <w:lang w:val="en-US"/>
              </w:rPr>
              <w:t>(</w:t>
            </w:r>
            <w:r w:rsidRPr="00C07B8C">
              <w:rPr>
                <w:rFonts w:cs="Arial"/>
                <w:iCs/>
                <w:color w:val="auto"/>
                <w:lang w:val="en-US"/>
              </w:rPr>
              <w:t xml:space="preserve">Last </w:t>
            </w:r>
            <w:r>
              <w:rPr>
                <w:rFonts w:cs="Arial"/>
                <w:iCs/>
                <w:color w:val="auto"/>
                <w:lang w:val="en-US"/>
              </w:rPr>
              <w:t xml:space="preserve">reported </w:t>
            </w:r>
            <w:r w:rsidRPr="00C07B8C">
              <w:rPr>
                <w:rFonts w:cs="Arial"/>
                <w:iCs/>
                <w:color w:val="auto"/>
                <w:lang w:val="en-US"/>
              </w:rPr>
              <w:t xml:space="preserve">national figure </w:t>
            </w:r>
            <w:r>
              <w:rPr>
                <w:rFonts w:cs="Arial"/>
                <w:iCs/>
                <w:color w:val="auto"/>
                <w:lang w:val="en-US"/>
              </w:rPr>
              <w:t>published in 2018-2019 was</w:t>
            </w:r>
            <w:r w:rsidRPr="00C07B8C">
              <w:rPr>
                <w:rFonts w:cs="Arial"/>
                <w:iCs/>
                <w:color w:val="auto"/>
                <w:lang w:val="en-US"/>
              </w:rPr>
              <w:t xml:space="preserve"> 10.9%</w:t>
            </w:r>
            <w:r>
              <w:rPr>
                <w:rFonts w:cs="Arial"/>
                <w:iCs/>
                <w:color w:val="auto"/>
                <w:lang w:val="en-US"/>
              </w:rPr>
              <w:t>)</w:t>
            </w:r>
          </w:p>
          <w:p w14:paraId="41BBB7E0" w14:textId="0505A5FD" w:rsidR="006802BE" w:rsidRDefault="00B54BCB" w:rsidP="00B54BCB">
            <w:pPr>
              <w:suppressAutoHyphens w:val="0"/>
              <w:autoSpaceDN/>
              <w:spacing w:before="60" w:after="120" w:line="240" w:lineRule="auto"/>
              <w:ind w:left="57" w:right="57"/>
              <w:rPr>
                <w:rFonts w:cs="Arial"/>
                <w:iCs/>
                <w:color w:val="auto"/>
                <w:lang w:val="en-US"/>
              </w:rPr>
            </w:pPr>
            <w:r w:rsidRPr="00702BF1">
              <w:rPr>
                <w:rFonts w:cs="Arial"/>
                <w:iCs/>
                <w:color w:val="auto"/>
                <w:lang w:val="en-US"/>
              </w:rPr>
              <w:t>Our assessments and observations indicate that absenteeism is negatively impacting disadvantaged pupils’ progress. Analysis of reasons for absence observations and discussions with pupils and families have identified social and emotional issues for pupils.</w:t>
            </w:r>
            <w:r>
              <w:rPr>
                <w:rFonts w:cs="Arial"/>
                <w:iCs/>
                <w:color w:val="auto"/>
                <w:lang w:val="en-US"/>
              </w:rPr>
              <w:t xml:space="preserve"> </w:t>
            </w:r>
            <w:r w:rsidR="00122F6B" w:rsidRPr="00C07B8C">
              <w:rPr>
                <w:rFonts w:cs="Arial"/>
                <w:iCs/>
                <w:color w:val="auto"/>
                <w:lang w:val="en-US"/>
              </w:rPr>
              <w:t>Our</w:t>
            </w:r>
            <w:r w:rsidR="0030333B">
              <w:rPr>
                <w:rFonts w:cs="Arial"/>
                <w:iCs/>
                <w:color w:val="auto"/>
                <w:lang w:val="en-US"/>
              </w:rPr>
              <w:t xml:space="preserve"> attendance data for the </w:t>
            </w:r>
            <w:r w:rsidR="006802BE">
              <w:rPr>
                <w:rFonts w:cs="Arial"/>
                <w:iCs/>
                <w:color w:val="auto"/>
                <w:lang w:val="en-US"/>
              </w:rPr>
              <w:t>2021-2022</w:t>
            </w:r>
            <w:r w:rsidR="00702BF1">
              <w:rPr>
                <w:rFonts w:cs="Arial"/>
                <w:iCs/>
                <w:color w:val="auto"/>
                <w:lang w:val="en-US"/>
              </w:rPr>
              <w:t xml:space="preserve"> </w:t>
            </w:r>
            <w:r w:rsidR="0030333B">
              <w:rPr>
                <w:rFonts w:cs="Arial"/>
                <w:iCs/>
                <w:color w:val="auto"/>
                <w:lang w:val="en-US"/>
              </w:rPr>
              <w:t>indicates that absence</w:t>
            </w:r>
            <w:r w:rsidR="00122F6B" w:rsidRPr="00C07B8C">
              <w:rPr>
                <w:rFonts w:cs="Arial"/>
                <w:iCs/>
                <w:color w:val="auto"/>
                <w:lang w:val="en-US"/>
              </w:rPr>
              <w:t xml:space="preserve"> among disadvantaged </w:t>
            </w:r>
            <w:r w:rsidR="00122F6B" w:rsidRPr="00702BF1">
              <w:rPr>
                <w:rFonts w:cs="Arial"/>
                <w:iCs/>
                <w:color w:val="auto"/>
                <w:lang w:val="en-US"/>
              </w:rPr>
              <w:t xml:space="preserve">pupils </w:t>
            </w:r>
            <w:r w:rsidR="00702BF1" w:rsidRPr="00702BF1">
              <w:rPr>
                <w:rFonts w:cs="Arial"/>
                <w:iCs/>
                <w:color w:val="auto"/>
                <w:lang w:val="en-US"/>
              </w:rPr>
              <w:t xml:space="preserve">was </w:t>
            </w:r>
          </w:p>
          <w:p w14:paraId="7F18A969" w14:textId="7B38D76B" w:rsidR="00614FA5" w:rsidRPr="003A6D41" w:rsidRDefault="00A66955" w:rsidP="00122F6B">
            <w:pPr>
              <w:suppressAutoHyphens w:val="0"/>
              <w:autoSpaceDN/>
              <w:spacing w:before="60" w:after="120" w:line="240" w:lineRule="auto"/>
              <w:ind w:right="57"/>
              <w:rPr>
                <w:rFonts w:cs="Arial"/>
              </w:rPr>
            </w:pPr>
            <w:r>
              <w:rPr>
                <w:rFonts w:cs="Arial"/>
                <w:iCs/>
                <w:color w:val="auto"/>
                <w:lang w:val="en-US"/>
              </w:rPr>
              <w:t xml:space="preserve"> </w:t>
            </w:r>
          </w:p>
        </w:tc>
      </w:tr>
    </w:tbl>
    <w:p w14:paraId="0D441D6B" w14:textId="298D71BB" w:rsidR="003A6D41" w:rsidRDefault="003A6D41">
      <w:pPr>
        <w:pStyle w:val="Heading2"/>
        <w:spacing w:before="600"/>
      </w:pPr>
      <w:bookmarkStart w:id="16" w:name="_Toc443397160"/>
    </w:p>
    <w:p w14:paraId="3250EB9D" w14:textId="77777777" w:rsidR="003A6D41" w:rsidRPr="003A6D41" w:rsidRDefault="003A6D41" w:rsidP="003A6D41"/>
    <w:p w14:paraId="2A7D54FF" w14:textId="7B656366"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377" w:type="pct"/>
        <w:tblCellMar>
          <w:left w:w="10" w:type="dxa"/>
          <w:right w:w="10" w:type="dxa"/>
        </w:tblCellMar>
        <w:tblLook w:val="04A0" w:firstRow="1" w:lastRow="0" w:firstColumn="1" w:lastColumn="0" w:noHBand="0" w:noVBand="1"/>
      </w:tblPr>
      <w:tblGrid>
        <w:gridCol w:w="2944"/>
        <w:gridCol w:w="7257"/>
      </w:tblGrid>
      <w:tr w:rsidR="00E66558" w14:paraId="2A7D5503" w14:textId="77777777" w:rsidTr="007522F7">
        <w:tc>
          <w:tcPr>
            <w:tcW w:w="2944" w:type="dxa"/>
            <w:tcBorders>
              <w:top w:val="single" w:sz="4" w:space="0" w:color="auto"/>
              <w:left w:val="single" w:sz="4" w:space="0" w:color="auto"/>
              <w:bottom w:val="single" w:sz="4" w:space="0" w:color="auto"/>
              <w:right w:val="single" w:sz="4" w:space="0" w:color="auto"/>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257" w:type="dxa"/>
            <w:tcBorders>
              <w:top w:val="single" w:sz="4" w:space="0" w:color="auto"/>
              <w:left w:val="single" w:sz="4" w:space="0" w:color="auto"/>
              <w:bottom w:val="single" w:sz="4" w:space="0" w:color="auto"/>
              <w:right w:val="single" w:sz="4" w:space="0" w:color="auto"/>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D845B1" w14:paraId="1ED680EC" w14:textId="77777777" w:rsidTr="007522F7">
        <w:tc>
          <w:tcPr>
            <w:tcW w:w="29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11C90E" w14:textId="1B5D2A77" w:rsidR="00D845B1" w:rsidRDefault="00D845B1" w:rsidP="00C772FC">
            <w:pPr>
              <w:pStyle w:val="TableRow"/>
              <w:spacing w:after="0"/>
            </w:pPr>
            <w:r w:rsidRPr="003E5927">
              <w:rPr>
                <w:rFonts w:cs="Arial"/>
              </w:rPr>
              <w:t xml:space="preserve">To </w:t>
            </w:r>
            <w:r w:rsidRPr="003E5927">
              <w:rPr>
                <w:rFonts w:cs="Arial"/>
                <w:color w:val="000000"/>
              </w:rPr>
              <w:t>increase</w:t>
            </w:r>
            <w:r w:rsidRPr="003E5927">
              <w:rPr>
                <w:rFonts w:cs="Arial"/>
              </w:rPr>
              <w:t xml:space="preserve"> </w:t>
            </w:r>
            <w:r w:rsidR="00C772FC">
              <w:rPr>
                <w:rFonts w:cs="Arial"/>
              </w:rPr>
              <w:t xml:space="preserve">disadvantaged pupils’ </w:t>
            </w:r>
            <w:r w:rsidRPr="003E5927">
              <w:rPr>
                <w:rFonts w:cs="Arial"/>
              </w:rPr>
              <w:t xml:space="preserve">levels </w:t>
            </w:r>
            <w:r w:rsidR="00122F6B">
              <w:rPr>
                <w:rFonts w:cs="Arial"/>
              </w:rPr>
              <w:t xml:space="preserve">of </w:t>
            </w:r>
            <w:r w:rsidRPr="003E5927">
              <w:rPr>
                <w:rFonts w:cs="Arial"/>
              </w:rPr>
              <w:t xml:space="preserve">engagement and attitudes towards reading </w:t>
            </w:r>
            <w:r w:rsidR="00A53675">
              <w:rPr>
                <w:rFonts w:cs="Arial"/>
              </w:rPr>
              <w:t xml:space="preserve">by ensuring </w:t>
            </w:r>
            <w:r w:rsidRPr="003E5927">
              <w:rPr>
                <w:rFonts w:cs="Arial"/>
              </w:rPr>
              <w:t xml:space="preserve">that </w:t>
            </w:r>
            <w:r w:rsidR="00122F6B">
              <w:rPr>
                <w:rFonts w:cs="Arial"/>
              </w:rPr>
              <w:t xml:space="preserve">early reading and phonics are </w:t>
            </w:r>
            <w:r w:rsidRPr="003E5927">
              <w:rPr>
                <w:rFonts w:cs="Arial"/>
              </w:rPr>
              <w:t>prioritised</w:t>
            </w:r>
            <w:r w:rsidR="00A53675">
              <w:rPr>
                <w:rFonts w:cs="Arial"/>
              </w:rPr>
              <w:t xml:space="preserve">. </w:t>
            </w:r>
          </w:p>
        </w:tc>
        <w:tc>
          <w:tcPr>
            <w:tcW w:w="72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6BED50" w14:textId="12259BCE" w:rsidR="00D845B1" w:rsidRPr="00272550" w:rsidRDefault="00272550" w:rsidP="00C772FC">
            <w:pPr>
              <w:pStyle w:val="TableRow"/>
              <w:numPr>
                <w:ilvl w:val="0"/>
                <w:numId w:val="32"/>
              </w:numPr>
              <w:spacing w:after="0"/>
              <w:ind w:left="343"/>
              <w:textAlignment w:val="baseline"/>
              <w:rPr>
                <w:rStyle w:val="PlaceholderText"/>
                <w:rFonts w:cs="Arial"/>
                <w:color w:val="000000"/>
              </w:rPr>
            </w:pPr>
            <w:r>
              <w:t xml:space="preserve">All </w:t>
            </w:r>
            <w:r w:rsidR="00D845B1" w:rsidRPr="00272550">
              <w:rPr>
                <w:rStyle w:val="PlaceholderText"/>
                <w:rFonts w:cs="Arial"/>
                <w:color w:val="000000"/>
              </w:rPr>
              <w:t>staff across the school are trained in the effective and consistent appro</w:t>
            </w:r>
            <w:r w:rsidR="00122F6B" w:rsidRPr="00272550">
              <w:rPr>
                <w:rStyle w:val="PlaceholderText"/>
                <w:rFonts w:cs="Arial"/>
                <w:color w:val="000000"/>
              </w:rPr>
              <w:t xml:space="preserve">ach to the teaching of phonics </w:t>
            </w:r>
            <w:r w:rsidR="00D845B1" w:rsidRPr="00272550">
              <w:rPr>
                <w:rStyle w:val="PlaceholderText"/>
                <w:rFonts w:cs="Arial"/>
                <w:color w:val="000000"/>
              </w:rPr>
              <w:t xml:space="preserve">through effective </w:t>
            </w:r>
            <w:r>
              <w:rPr>
                <w:rStyle w:val="PlaceholderText"/>
                <w:rFonts w:cs="Arial"/>
                <w:color w:val="000000"/>
              </w:rPr>
              <w:t xml:space="preserve">ongoing </w:t>
            </w:r>
            <w:r w:rsidR="00D845B1" w:rsidRPr="00272550">
              <w:rPr>
                <w:rStyle w:val="PlaceholderText"/>
                <w:rFonts w:cs="Arial"/>
                <w:color w:val="000000"/>
              </w:rPr>
              <w:t xml:space="preserve">CPD and collaboration </w:t>
            </w:r>
            <w:r w:rsidR="00122F6B" w:rsidRPr="00272550">
              <w:rPr>
                <w:rStyle w:val="PlaceholderText"/>
                <w:rFonts w:cs="Arial"/>
                <w:color w:val="000000"/>
              </w:rPr>
              <w:t xml:space="preserve">with RW Inc. </w:t>
            </w:r>
          </w:p>
          <w:p w14:paraId="2934B79B" w14:textId="206E0013" w:rsidR="00272550" w:rsidRPr="00153587" w:rsidRDefault="00272550" w:rsidP="00C772FC">
            <w:pPr>
              <w:pStyle w:val="TableRow"/>
              <w:numPr>
                <w:ilvl w:val="0"/>
                <w:numId w:val="32"/>
              </w:numPr>
              <w:spacing w:after="0"/>
              <w:ind w:left="343"/>
              <w:textAlignment w:val="baseline"/>
              <w:rPr>
                <w:rFonts w:cs="Arial"/>
              </w:rPr>
            </w:pPr>
            <w:r>
              <w:rPr>
                <w:rFonts w:cs="Arial"/>
                <w:color w:val="auto"/>
                <w:lang w:eastAsia="en-US"/>
              </w:rPr>
              <w:t>A</w:t>
            </w:r>
            <w:r w:rsidR="00A53675" w:rsidRPr="00272550">
              <w:rPr>
                <w:rFonts w:cs="Arial"/>
              </w:rPr>
              <w:t xml:space="preserve">t least 90% of pupils </w:t>
            </w:r>
            <w:r>
              <w:rPr>
                <w:rFonts w:cs="Arial"/>
              </w:rPr>
              <w:t xml:space="preserve">will </w:t>
            </w:r>
            <w:r w:rsidR="00A53675" w:rsidRPr="00272550">
              <w:rPr>
                <w:rFonts w:cs="Arial"/>
              </w:rPr>
              <w:t xml:space="preserve">achieve the National expected standard in </w:t>
            </w:r>
            <w:r>
              <w:rPr>
                <w:rFonts w:cs="Arial"/>
              </w:rPr>
              <w:t xml:space="preserve">the PSC </w:t>
            </w:r>
            <w:r w:rsidR="00A53675" w:rsidRPr="00272550">
              <w:rPr>
                <w:rFonts w:cs="Arial"/>
              </w:rPr>
              <w:t xml:space="preserve">in 2022 and </w:t>
            </w:r>
            <w:r>
              <w:rPr>
                <w:rFonts w:cs="Arial"/>
              </w:rPr>
              <w:t>this will increase</w:t>
            </w:r>
            <w:r w:rsidR="00A53675" w:rsidRPr="00272550">
              <w:rPr>
                <w:rFonts w:cs="Arial"/>
              </w:rPr>
              <w:t xml:space="preserve"> to 95% in 2024. </w:t>
            </w:r>
            <w:r w:rsidR="00A066FC">
              <w:rPr>
                <w:rFonts w:cs="Arial"/>
                <w:color w:val="auto"/>
                <w:lang w:eastAsia="en-US"/>
              </w:rPr>
              <w:t xml:space="preserve">Disadvantaged </w:t>
            </w:r>
            <w:r>
              <w:rPr>
                <w:rFonts w:cs="Arial"/>
                <w:color w:val="auto"/>
                <w:lang w:eastAsia="en-US"/>
              </w:rPr>
              <w:t>child</w:t>
            </w:r>
            <w:r w:rsidR="00A53675" w:rsidRPr="00272550">
              <w:rPr>
                <w:rFonts w:cs="Arial"/>
                <w:color w:val="auto"/>
                <w:lang w:eastAsia="en-US"/>
              </w:rPr>
              <w:t>ren will</w:t>
            </w:r>
            <w:r w:rsidR="00A066FC">
              <w:rPr>
                <w:rFonts w:cs="Arial"/>
                <w:color w:val="auto"/>
                <w:lang w:eastAsia="en-US"/>
              </w:rPr>
              <w:t xml:space="preserve"> attain PSC in line with non-disadvantaged</w:t>
            </w:r>
            <w:r>
              <w:rPr>
                <w:rFonts w:cs="Arial"/>
                <w:color w:val="auto"/>
                <w:lang w:eastAsia="en-US"/>
              </w:rPr>
              <w:t>.</w:t>
            </w:r>
          </w:p>
          <w:p w14:paraId="3705A508" w14:textId="05785162" w:rsidR="00153587" w:rsidRDefault="00153587" w:rsidP="00153587">
            <w:pPr>
              <w:pStyle w:val="TableRow"/>
              <w:numPr>
                <w:ilvl w:val="0"/>
                <w:numId w:val="32"/>
              </w:numPr>
              <w:spacing w:after="0"/>
              <w:ind w:left="343"/>
              <w:textAlignment w:val="baseline"/>
              <w:rPr>
                <w:rFonts w:cs="Arial"/>
              </w:rPr>
            </w:pPr>
            <w:r>
              <w:rPr>
                <w:rFonts w:cs="Arial"/>
              </w:rPr>
              <w:t>The b</w:t>
            </w:r>
            <w:r w:rsidRPr="003E5927">
              <w:rPr>
                <w:rFonts w:cs="Arial"/>
              </w:rPr>
              <w:t xml:space="preserve">ottom 20% </w:t>
            </w:r>
            <w:r>
              <w:rPr>
                <w:rFonts w:cs="Arial"/>
              </w:rPr>
              <w:t xml:space="preserve">for phonics </w:t>
            </w:r>
            <w:r w:rsidRPr="003E5927">
              <w:rPr>
                <w:rFonts w:cs="Arial"/>
              </w:rPr>
              <w:t xml:space="preserve">are tracked and supported to maximise their reading abilities. </w:t>
            </w:r>
            <w:r>
              <w:rPr>
                <w:rFonts w:cs="Arial"/>
              </w:rPr>
              <w:t xml:space="preserve">Same day </w:t>
            </w:r>
            <w:r w:rsidRPr="003E5927">
              <w:rPr>
                <w:rFonts w:cs="Arial"/>
              </w:rPr>
              <w:t>intervention</w:t>
            </w:r>
            <w:r>
              <w:rPr>
                <w:rFonts w:cs="Arial"/>
              </w:rPr>
              <w:t>s</w:t>
            </w:r>
            <w:r w:rsidRPr="003E5927">
              <w:rPr>
                <w:rFonts w:cs="Arial"/>
              </w:rPr>
              <w:t xml:space="preserve"> </w:t>
            </w:r>
            <w:r>
              <w:rPr>
                <w:rFonts w:cs="Arial"/>
              </w:rPr>
              <w:t>are provided through mastery, pinny time and 1:1 phonics tutoring.</w:t>
            </w:r>
          </w:p>
          <w:p w14:paraId="0E52AEFC" w14:textId="258E1DF2" w:rsidR="00440409" w:rsidRDefault="00440409" w:rsidP="00440409">
            <w:pPr>
              <w:pStyle w:val="TableRow"/>
              <w:numPr>
                <w:ilvl w:val="0"/>
                <w:numId w:val="32"/>
              </w:numPr>
              <w:spacing w:after="0"/>
              <w:ind w:left="343"/>
              <w:textAlignment w:val="baseline"/>
              <w:rPr>
                <w:rFonts w:cs="Arial"/>
              </w:rPr>
            </w:pPr>
            <w:r>
              <w:t xml:space="preserve">The use of reading interventions for the bottom 20%, including the use of comprehensions groups, RWInc Fresh Start and 1:1 tutoring </w:t>
            </w:r>
            <w:r w:rsidR="00153587" w:rsidRPr="003E5927">
              <w:rPr>
                <w:rFonts w:cs="Arial"/>
              </w:rPr>
              <w:t xml:space="preserve">are tracked </w:t>
            </w:r>
            <w:r>
              <w:rPr>
                <w:rFonts w:cs="Arial"/>
              </w:rPr>
              <w:t xml:space="preserve">and refocussed as needed. </w:t>
            </w:r>
          </w:p>
          <w:p w14:paraId="2890AAE6" w14:textId="77777777" w:rsidR="00CC3D67" w:rsidRPr="007522F7" w:rsidRDefault="00A53675" w:rsidP="00C772FC">
            <w:pPr>
              <w:pStyle w:val="TableRow"/>
              <w:numPr>
                <w:ilvl w:val="0"/>
                <w:numId w:val="32"/>
              </w:numPr>
              <w:spacing w:after="0"/>
              <w:ind w:left="343"/>
              <w:textAlignment w:val="baseline"/>
              <w:rPr>
                <w:rFonts w:cs="Arial"/>
              </w:rPr>
            </w:pPr>
            <w:r w:rsidRPr="00272550">
              <w:rPr>
                <w:rFonts w:cs="Arial"/>
                <w:color w:val="auto"/>
              </w:rPr>
              <w:t xml:space="preserve">KS1 </w:t>
            </w:r>
            <w:r w:rsidR="00CC3D67" w:rsidRPr="00272550">
              <w:rPr>
                <w:rFonts w:cs="Arial"/>
                <w:color w:val="auto"/>
                <w:lang w:eastAsia="en-US"/>
              </w:rPr>
              <w:t xml:space="preserve">reading outcomes in 2024/25 show that disadvantaged pupils </w:t>
            </w:r>
            <w:r w:rsidR="00A066FC" w:rsidRPr="00272550">
              <w:rPr>
                <w:rFonts w:cs="Arial"/>
                <w:color w:val="auto"/>
                <w:lang w:eastAsia="en-US"/>
              </w:rPr>
              <w:t xml:space="preserve">will attain </w:t>
            </w:r>
            <w:r w:rsidR="00A066FC">
              <w:rPr>
                <w:rFonts w:cs="Arial"/>
                <w:color w:val="auto"/>
                <w:lang w:eastAsia="en-US"/>
              </w:rPr>
              <w:t xml:space="preserve">ARE in reading </w:t>
            </w:r>
            <w:r w:rsidR="00A066FC" w:rsidRPr="00272550">
              <w:rPr>
                <w:rFonts w:cs="Arial"/>
                <w:color w:val="auto"/>
                <w:lang w:eastAsia="en-US"/>
              </w:rPr>
              <w:t>in line with non-</w:t>
            </w:r>
            <w:r w:rsidR="00A066FC">
              <w:rPr>
                <w:rFonts w:cs="Arial"/>
                <w:color w:val="auto"/>
                <w:lang w:eastAsia="en-US"/>
              </w:rPr>
              <w:t>disadvantaged</w:t>
            </w:r>
            <w:r w:rsidR="00A066FC" w:rsidRPr="00272550">
              <w:rPr>
                <w:rFonts w:cs="Arial"/>
                <w:color w:val="auto"/>
                <w:lang w:eastAsia="en-US"/>
              </w:rPr>
              <w:t xml:space="preserve"> </w:t>
            </w:r>
            <w:r w:rsidR="00A066FC">
              <w:rPr>
                <w:rFonts w:cs="Arial"/>
                <w:color w:val="auto"/>
                <w:lang w:eastAsia="en-US"/>
              </w:rPr>
              <w:t xml:space="preserve">pupils. </w:t>
            </w:r>
          </w:p>
          <w:p w14:paraId="175B263C" w14:textId="676BE60D" w:rsidR="007522F7" w:rsidRPr="00272550" w:rsidRDefault="007522F7" w:rsidP="00C772FC">
            <w:pPr>
              <w:pStyle w:val="TableRow"/>
              <w:numPr>
                <w:ilvl w:val="0"/>
                <w:numId w:val="32"/>
              </w:numPr>
              <w:spacing w:after="0"/>
              <w:ind w:left="343"/>
              <w:textAlignment w:val="baseline"/>
              <w:rPr>
                <w:rFonts w:cs="Arial"/>
              </w:rPr>
            </w:pPr>
            <w:r w:rsidRPr="00272550">
              <w:rPr>
                <w:rFonts w:cs="Arial"/>
                <w:color w:val="auto"/>
              </w:rPr>
              <w:t>K</w:t>
            </w:r>
            <w:r>
              <w:rPr>
                <w:rFonts w:cs="Arial"/>
                <w:color w:val="auto"/>
              </w:rPr>
              <w:t>S2</w:t>
            </w:r>
            <w:r w:rsidRPr="00272550">
              <w:rPr>
                <w:rFonts w:cs="Arial"/>
                <w:color w:val="auto"/>
              </w:rPr>
              <w:t xml:space="preserve"> </w:t>
            </w:r>
            <w:r w:rsidRPr="00272550">
              <w:rPr>
                <w:rFonts w:cs="Arial"/>
                <w:color w:val="auto"/>
                <w:lang w:eastAsia="en-US"/>
              </w:rPr>
              <w:t xml:space="preserve">reading outcomes in 2024/25 show that disadvantaged pupils will attain </w:t>
            </w:r>
            <w:r>
              <w:rPr>
                <w:rFonts w:cs="Arial"/>
                <w:color w:val="auto"/>
                <w:lang w:eastAsia="en-US"/>
              </w:rPr>
              <w:t xml:space="preserve">ARE in reading </w:t>
            </w:r>
            <w:r w:rsidRPr="00272550">
              <w:rPr>
                <w:rFonts w:cs="Arial"/>
                <w:color w:val="auto"/>
                <w:lang w:eastAsia="en-US"/>
              </w:rPr>
              <w:t>in line with non-</w:t>
            </w:r>
            <w:r>
              <w:rPr>
                <w:rFonts w:cs="Arial"/>
                <w:color w:val="auto"/>
                <w:lang w:eastAsia="en-US"/>
              </w:rPr>
              <w:t>disadvantaged</w:t>
            </w:r>
            <w:r w:rsidRPr="00272550">
              <w:rPr>
                <w:rFonts w:cs="Arial"/>
                <w:color w:val="auto"/>
                <w:lang w:eastAsia="en-US"/>
              </w:rPr>
              <w:t xml:space="preserve"> </w:t>
            </w:r>
            <w:r>
              <w:rPr>
                <w:rFonts w:cs="Arial"/>
                <w:color w:val="auto"/>
                <w:lang w:eastAsia="en-US"/>
              </w:rPr>
              <w:t>pupils.</w:t>
            </w:r>
          </w:p>
        </w:tc>
      </w:tr>
      <w:tr w:rsidR="00CC3D67" w14:paraId="0D412711" w14:textId="77777777" w:rsidTr="007522F7">
        <w:trPr>
          <w:trHeight w:val="2760"/>
        </w:trPr>
        <w:tc>
          <w:tcPr>
            <w:tcW w:w="29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FB04F4" w14:textId="5E3BFB12" w:rsidR="00CC3D67" w:rsidRPr="003E5927" w:rsidRDefault="00CC3D67" w:rsidP="00C772FC">
            <w:pPr>
              <w:pStyle w:val="TableRow"/>
              <w:spacing w:after="0"/>
              <w:rPr>
                <w:rFonts w:cs="Arial"/>
              </w:rPr>
            </w:pPr>
            <w:r w:rsidRPr="003E5927">
              <w:rPr>
                <w:rFonts w:cs="Arial"/>
              </w:rPr>
              <w:t>To ensure that</w:t>
            </w:r>
            <w:r>
              <w:rPr>
                <w:rFonts w:cs="Arial"/>
              </w:rPr>
              <w:t xml:space="preserve"> all </w:t>
            </w:r>
            <w:r w:rsidRPr="003E5927">
              <w:rPr>
                <w:rFonts w:cs="Arial"/>
              </w:rPr>
              <w:t>children’s early language and communication development is prioritised in the EYFS and</w:t>
            </w:r>
            <w:r w:rsidR="00A66955">
              <w:rPr>
                <w:rFonts w:cs="Arial"/>
              </w:rPr>
              <w:t xml:space="preserve"> KS1 with targeted intervention.</w:t>
            </w:r>
          </w:p>
          <w:p w14:paraId="152D7443" w14:textId="6308F63B" w:rsidR="00CC3D67" w:rsidRDefault="00CC3D67" w:rsidP="00C772FC">
            <w:pPr>
              <w:pStyle w:val="TableHeader"/>
              <w:spacing w:after="0"/>
              <w:ind w:left="0"/>
              <w:jc w:val="left"/>
            </w:pPr>
          </w:p>
        </w:tc>
        <w:tc>
          <w:tcPr>
            <w:tcW w:w="72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7F15B0" w14:textId="372A3BD4" w:rsidR="00A66955" w:rsidRPr="00C772FC" w:rsidRDefault="002F7020" w:rsidP="00C772FC">
            <w:pPr>
              <w:pStyle w:val="TableRow"/>
              <w:numPr>
                <w:ilvl w:val="0"/>
                <w:numId w:val="32"/>
              </w:numPr>
              <w:spacing w:after="0"/>
              <w:ind w:left="343"/>
              <w:textAlignment w:val="baseline"/>
              <w:rPr>
                <w:rFonts w:cs="Arial"/>
                <w:color w:val="auto"/>
              </w:rPr>
            </w:pPr>
            <w:r>
              <w:rPr>
                <w:rFonts w:cs="Arial"/>
                <w:color w:val="auto"/>
              </w:rPr>
              <w:t>K</w:t>
            </w:r>
            <w:r w:rsidR="00A66955" w:rsidRPr="00C772FC">
              <w:rPr>
                <w:rFonts w:cs="Arial"/>
                <w:color w:val="auto"/>
              </w:rPr>
              <w:t xml:space="preserve">ey staff and TA’s are trained on NELI, to develop early language and communication development strategies/approaches. Progress seen from baseline. </w:t>
            </w:r>
          </w:p>
          <w:p w14:paraId="74644F6C" w14:textId="77777777" w:rsidR="00CC3D67" w:rsidRPr="00C772FC" w:rsidRDefault="00CC3D67" w:rsidP="00C772FC">
            <w:pPr>
              <w:pStyle w:val="ListParagraph"/>
              <w:numPr>
                <w:ilvl w:val="0"/>
                <w:numId w:val="32"/>
              </w:numPr>
              <w:suppressAutoHyphens w:val="0"/>
              <w:autoSpaceDN/>
              <w:spacing w:before="60" w:after="0" w:line="240" w:lineRule="auto"/>
              <w:ind w:left="343" w:right="57"/>
              <w:rPr>
                <w:rFonts w:cs="Arial"/>
                <w:color w:val="auto"/>
              </w:rPr>
            </w:pPr>
            <w:r w:rsidRPr="00C772FC">
              <w:rPr>
                <w:rFonts w:cs="Arial"/>
                <w:color w:val="auto"/>
              </w:rPr>
              <w:t xml:space="preserve">Assessments and observations indicate significantly improved oral language among disadvantaged pupils across the school. </w:t>
            </w:r>
          </w:p>
          <w:p w14:paraId="0BD1DE13" w14:textId="66D09391" w:rsidR="00CC3D67" w:rsidRPr="00C772FC" w:rsidRDefault="00CC3D67" w:rsidP="00C772FC">
            <w:pPr>
              <w:pStyle w:val="TableRow"/>
              <w:numPr>
                <w:ilvl w:val="0"/>
                <w:numId w:val="32"/>
              </w:numPr>
              <w:spacing w:after="0"/>
              <w:ind w:left="343"/>
              <w:textAlignment w:val="baseline"/>
              <w:rPr>
                <w:rFonts w:cs="Arial"/>
                <w:color w:val="auto"/>
              </w:rPr>
            </w:pPr>
            <w:r w:rsidRPr="00C772FC">
              <w:rPr>
                <w:rFonts w:cs="Arial"/>
                <w:color w:val="auto"/>
              </w:rPr>
              <w:t>Speech and Language targeted programmes are in</w:t>
            </w:r>
            <w:r w:rsidR="00A66955" w:rsidRPr="00C772FC">
              <w:rPr>
                <w:rFonts w:cs="Arial"/>
                <w:color w:val="auto"/>
              </w:rPr>
              <w:t xml:space="preserve"> place and reviewed half termly. There will be a reduction in the number of disadvantaged pup</w:t>
            </w:r>
            <w:r w:rsidRPr="00C772FC">
              <w:rPr>
                <w:rFonts w:cs="Arial"/>
                <w:color w:val="auto"/>
              </w:rPr>
              <w:t>ils</w:t>
            </w:r>
            <w:r w:rsidR="00A66955" w:rsidRPr="00C772FC">
              <w:rPr>
                <w:rFonts w:cs="Arial"/>
                <w:color w:val="auto"/>
              </w:rPr>
              <w:t xml:space="preserve">/bottom 20% </w:t>
            </w:r>
            <w:r w:rsidR="007522F7">
              <w:rPr>
                <w:rFonts w:cs="Arial"/>
                <w:color w:val="auto"/>
              </w:rPr>
              <w:t>who need additional speech and l</w:t>
            </w:r>
            <w:r w:rsidR="00A66955" w:rsidRPr="00C772FC">
              <w:rPr>
                <w:rFonts w:cs="Arial"/>
                <w:color w:val="auto"/>
              </w:rPr>
              <w:t xml:space="preserve">anguage intervention. </w:t>
            </w:r>
            <w:r w:rsidRPr="00C772FC">
              <w:rPr>
                <w:rFonts w:cs="Arial"/>
                <w:color w:val="auto"/>
              </w:rPr>
              <w:t xml:space="preserve"> </w:t>
            </w:r>
          </w:p>
        </w:tc>
      </w:tr>
      <w:tr w:rsidR="00CC3D67" w14:paraId="3DF0DA9D" w14:textId="77777777" w:rsidTr="007522F7">
        <w:tc>
          <w:tcPr>
            <w:tcW w:w="29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75046C" w14:textId="07F35897" w:rsidR="00CC3D67" w:rsidRPr="00C772FC" w:rsidRDefault="00CC3D67" w:rsidP="00C772FC">
            <w:pPr>
              <w:pStyle w:val="TableRow"/>
              <w:rPr>
                <w:rFonts w:cs="Arial"/>
              </w:rPr>
            </w:pPr>
            <w:r w:rsidRPr="003E5927">
              <w:rPr>
                <w:rFonts w:cs="Arial"/>
              </w:rPr>
              <w:t xml:space="preserve">To ensure that the curriculum enables </w:t>
            </w:r>
            <w:r w:rsidR="00C772FC">
              <w:rPr>
                <w:rFonts w:cs="Arial"/>
              </w:rPr>
              <w:t xml:space="preserve">disadvantaged </w:t>
            </w:r>
            <w:r w:rsidRPr="003E5927">
              <w:rPr>
                <w:rFonts w:cs="Arial"/>
              </w:rPr>
              <w:t>childr</w:t>
            </w:r>
            <w:r w:rsidR="00A53675">
              <w:rPr>
                <w:rFonts w:cs="Arial"/>
              </w:rPr>
              <w:t xml:space="preserve">en to develop their vocabulary and provide </w:t>
            </w:r>
            <w:r w:rsidR="00A066FC">
              <w:rPr>
                <w:rFonts w:cs="Arial"/>
              </w:rPr>
              <w:t xml:space="preserve">them with </w:t>
            </w:r>
            <w:r w:rsidR="00A53675">
              <w:rPr>
                <w:rFonts w:cs="Arial"/>
              </w:rPr>
              <w:t xml:space="preserve">opportunities to use and practise new language. </w:t>
            </w:r>
          </w:p>
        </w:tc>
        <w:tc>
          <w:tcPr>
            <w:tcW w:w="72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080256" w14:textId="3AE5A0AC" w:rsidR="002F7020" w:rsidRPr="00704433" w:rsidRDefault="00C772FC" w:rsidP="00C772FC">
            <w:pPr>
              <w:pStyle w:val="TableRow"/>
              <w:numPr>
                <w:ilvl w:val="0"/>
                <w:numId w:val="34"/>
              </w:numPr>
              <w:ind w:left="343" w:hanging="343"/>
              <w:textAlignment w:val="baseline"/>
              <w:rPr>
                <w:rFonts w:cs="Arial"/>
                <w:color w:val="auto"/>
              </w:rPr>
            </w:pPr>
            <w:r>
              <w:rPr>
                <w:color w:val="auto"/>
              </w:rPr>
              <w:t>Vocabulary Ninja is embedded in daily practise and the</w:t>
            </w:r>
            <w:r w:rsidR="00704433">
              <w:rPr>
                <w:color w:val="auto"/>
              </w:rPr>
              <w:t xml:space="preserve"> taught</w:t>
            </w:r>
            <w:r>
              <w:rPr>
                <w:color w:val="auto"/>
              </w:rPr>
              <w:t xml:space="preserve"> vocabulary can be seen in written work and heard in spoken activities.  </w:t>
            </w:r>
          </w:p>
          <w:p w14:paraId="1651B0BE" w14:textId="6AF4AA0E" w:rsidR="00704433" w:rsidRPr="00704433" w:rsidRDefault="00704433" w:rsidP="00C772FC">
            <w:pPr>
              <w:pStyle w:val="TableRow"/>
              <w:numPr>
                <w:ilvl w:val="0"/>
                <w:numId w:val="34"/>
              </w:numPr>
              <w:ind w:left="343" w:hanging="343"/>
              <w:textAlignment w:val="baseline"/>
              <w:rPr>
                <w:rFonts w:cs="Arial"/>
                <w:color w:val="auto"/>
              </w:rPr>
            </w:pPr>
            <w:r>
              <w:rPr>
                <w:color w:val="auto"/>
              </w:rPr>
              <w:t xml:space="preserve">Pupil enthusiasm and interest in new words is high. </w:t>
            </w:r>
          </w:p>
          <w:p w14:paraId="6C9EEE76" w14:textId="7EA82FAF" w:rsidR="00704433" w:rsidRPr="002F7020" w:rsidRDefault="00883D2A" w:rsidP="00C772FC">
            <w:pPr>
              <w:pStyle w:val="TableRow"/>
              <w:numPr>
                <w:ilvl w:val="0"/>
                <w:numId w:val="34"/>
              </w:numPr>
              <w:ind w:left="343" w:hanging="343"/>
              <w:textAlignment w:val="baseline"/>
              <w:rPr>
                <w:rFonts w:cs="Arial"/>
                <w:color w:val="auto"/>
              </w:rPr>
            </w:pPr>
            <w:r>
              <w:rPr>
                <w:rFonts w:cs="Arial"/>
                <w:color w:val="auto"/>
              </w:rPr>
              <w:t>P</w:t>
            </w:r>
            <w:r w:rsidR="00704433">
              <w:rPr>
                <w:rFonts w:cs="Arial"/>
                <w:color w:val="auto"/>
              </w:rPr>
              <w:t>rogress in morphology, phonology,</w:t>
            </w:r>
            <w:r>
              <w:rPr>
                <w:rFonts w:cs="Arial"/>
                <w:color w:val="auto"/>
              </w:rPr>
              <w:t xml:space="preserve"> etymology and orthography revealed by HAST II screening. </w:t>
            </w:r>
          </w:p>
          <w:p w14:paraId="3D01C2EA" w14:textId="77777777" w:rsidR="002F7020" w:rsidRPr="002F7020" w:rsidRDefault="00C772FC" w:rsidP="002F7020">
            <w:pPr>
              <w:pStyle w:val="TableRow"/>
              <w:numPr>
                <w:ilvl w:val="0"/>
                <w:numId w:val="34"/>
              </w:numPr>
              <w:ind w:left="343" w:hanging="343"/>
              <w:textAlignment w:val="baseline"/>
              <w:rPr>
                <w:rFonts w:cs="Arial"/>
                <w:color w:val="auto"/>
              </w:rPr>
            </w:pPr>
            <w:r>
              <w:rPr>
                <w:color w:val="auto"/>
              </w:rPr>
              <w:t>Improvements seen in attainment and progress data for reading and writing at all stages. The attainment gap between disadvantaged and non-disadvantaged pup</w:t>
            </w:r>
            <w:r w:rsidR="002F7020">
              <w:rPr>
                <w:color w:val="auto"/>
              </w:rPr>
              <w:t>ils is reduced.</w:t>
            </w:r>
          </w:p>
          <w:p w14:paraId="10378B8A" w14:textId="6ACDE9AD" w:rsidR="00CC3D67" w:rsidRPr="002F7020" w:rsidRDefault="002F7020" w:rsidP="002F7020">
            <w:pPr>
              <w:pStyle w:val="TableRow"/>
              <w:numPr>
                <w:ilvl w:val="0"/>
                <w:numId w:val="34"/>
              </w:numPr>
              <w:ind w:left="343" w:hanging="343"/>
              <w:textAlignment w:val="baseline"/>
              <w:rPr>
                <w:rFonts w:cs="Arial"/>
                <w:color w:val="auto"/>
              </w:rPr>
            </w:pPr>
            <w:r>
              <w:rPr>
                <w:color w:val="auto"/>
              </w:rPr>
              <w:t xml:space="preserve">Subject leaders </w:t>
            </w:r>
            <w:r w:rsidRPr="00C772FC">
              <w:rPr>
                <w:color w:val="auto"/>
              </w:rPr>
              <w:t>ensure p</w:t>
            </w:r>
            <w:r w:rsidR="003A6D41">
              <w:rPr>
                <w:color w:val="auto"/>
              </w:rPr>
              <w:t>rogressive key vocabulary from core and foundations s</w:t>
            </w:r>
            <w:r w:rsidRPr="00C772FC">
              <w:rPr>
                <w:color w:val="auto"/>
              </w:rPr>
              <w:t>ubject</w:t>
            </w:r>
            <w:r w:rsidR="003A6D41">
              <w:rPr>
                <w:color w:val="auto"/>
              </w:rPr>
              <w:t>s are</w:t>
            </w:r>
            <w:r w:rsidRPr="00C772FC">
              <w:rPr>
                <w:color w:val="auto"/>
              </w:rPr>
              <w:t xml:space="preserve"> taught in lessons. </w:t>
            </w:r>
          </w:p>
        </w:tc>
      </w:tr>
      <w:tr w:rsidR="00CC3D67" w14:paraId="7BB338E8" w14:textId="77777777" w:rsidTr="007522F7">
        <w:tc>
          <w:tcPr>
            <w:tcW w:w="29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086BE7" w14:textId="420B65B2" w:rsidR="00CC3D67" w:rsidRPr="003E5927" w:rsidRDefault="00EC01DE" w:rsidP="00C772FC">
            <w:pPr>
              <w:pStyle w:val="TableRow"/>
              <w:rPr>
                <w:rFonts w:cs="Arial"/>
              </w:rPr>
            </w:pPr>
            <w:r>
              <w:lastRenderedPageBreak/>
              <w:t>To e</w:t>
            </w:r>
            <w:r w:rsidR="00C772FC">
              <w:t>nsure consistent high impact</w:t>
            </w:r>
            <w:r w:rsidR="00CC3D67">
              <w:t xml:space="preserve"> inclusive </w:t>
            </w:r>
            <w:r w:rsidR="00C772FC">
              <w:t xml:space="preserve">initial </w:t>
            </w:r>
            <w:r w:rsidR="00CC3D67">
              <w:t>teaching for disadvantaged pu</w:t>
            </w:r>
            <w:r>
              <w:t>p</w:t>
            </w:r>
            <w:r w:rsidR="00CC3D67">
              <w:t xml:space="preserve">ils.  </w:t>
            </w:r>
          </w:p>
        </w:tc>
        <w:tc>
          <w:tcPr>
            <w:tcW w:w="72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10B6C7" w14:textId="2F5DEB4C" w:rsidR="00CC3D67" w:rsidRPr="00C772FC" w:rsidRDefault="00C772FC" w:rsidP="007522F7">
            <w:pPr>
              <w:pStyle w:val="TableHeader"/>
              <w:numPr>
                <w:ilvl w:val="0"/>
                <w:numId w:val="43"/>
              </w:numPr>
              <w:spacing w:before="0" w:after="0"/>
              <w:ind w:left="343"/>
              <w:jc w:val="left"/>
              <w:rPr>
                <w:b w:val="0"/>
              </w:rPr>
            </w:pPr>
            <w:r w:rsidRPr="00C772FC">
              <w:rPr>
                <w:b w:val="0"/>
              </w:rPr>
              <w:t xml:space="preserve">All staff </w:t>
            </w:r>
            <w:r>
              <w:rPr>
                <w:b w:val="0"/>
              </w:rPr>
              <w:t>refer to the OAIP document as p</w:t>
            </w:r>
            <w:r w:rsidRPr="00C772FC">
              <w:rPr>
                <w:b w:val="0"/>
              </w:rPr>
              <w:t>art of their classroom practise</w:t>
            </w:r>
            <w:r w:rsidR="00704433">
              <w:rPr>
                <w:b w:val="0"/>
              </w:rPr>
              <w:t xml:space="preserve"> and through discussion can show how this has been applied to support groups of pupils. </w:t>
            </w:r>
            <w:r w:rsidRPr="00C772FC">
              <w:rPr>
                <w:b w:val="0"/>
              </w:rPr>
              <w:t xml:space="preserve">  </w:t>
            </w:r>
          </w:p>
          <w:p w14:paraId="4575DC82" w14:textId="066217A1" w:rsidR="00C772FC" w:rsidRPr="00C772FC" w:rsidRDefault="00C772FC" w:rsidP="007522F7">
            <w:pPr>
              <w:pStyle w:val="TableHeader"/>
              <w:numPr>
                <w:ilvl w:val="0"/>
                <w:numId w:val="43"/>
              </w:numPr>
              <w:spacing w:before="0" w:after="0"/>
              <w:ind w:left="343"/>
              <w:jc w:val="left"/>
              <w:rPr>
                <w:b w:val="0"/>
              </w:rPr>
            </w:pPr>
            <w:r w:rsidRPr="00C772FC">
              <w:rPr>
                <w:b w:val="0"/>
              </w:rPr>
              <w:t xml:space="preserve">Positive feedback </w:t>
            </w:r>
            <w:r w:rsidR="003A6D41">
              <w:rPr>
                <w:b w:val="0"/>
              </w:rPr>
              <w:t xml:space="preserve">is </w:t>
            </w:r>
            <w:r w:rsidRPr="00C772FC">
              <w:rPr>
                <w:b w:val="0"/>
              </w:rPr>
              <w:t xml:space="preserve">received regarding training on dialogic talk, questioning strategies </w:t>
            </w:r>
            <w:r>
              <w:rPr>
                <w:b w:val="0"/>
              </w:rPr>
              <w:t>and other CPD provided by senior</w:t>
            </w:r>
            <w:r w:rsidRPr="00C772FC">
              <w:rPr>
                <w:b w:val="0"/>
              </w:rPr>
              <w:t xml:space="preserve"> leaders. </w:t>
            </w:r>
          </w:p>
          <w:p w14:paraId="2DF715A6" w14:textId="671DDB29" w:rsidR="00CC3D67" w:rsidRPr="00C772FC" w:rsidRDefault="00C772FC" w:rsidP="007522F7">
            <w:pPr>
              <w:pStyle w:val="TableHeader"/>
              <w:numPr>
                <w:ilvl w:val="0"/>
                <w:numId w:val="43"/>
              </w:numPr>
              <w:spacing w:before="0" w:after="0"/>
              <w:ind w:left="343"/>
              <w:jc w:val="left"/>
              <w:rPr>
                <w:b w:val="0"/>
              </w:rPr>
            </w:pPr>
            <w:r>
              <w:rPr>
                <w:b w:val="0"/>
              </w:rPr>
              <w:t>Eviden</w:t>
            </w:r>
            <w:r w:rsidRPr="00C772FC">
              <w:rPr>
                <w:b w:val="0"/>
              </w:rPr>
              <w:t xml:space="preserve">ce of </w:t>
            </w:r>
            <w:r w:rsidR="003A6D41">
              <w:rPr>
                <w:b w:val="0"/>
              </w:rPr>
              <w:t>the impact of whole staff and individual</w:t>
            </w:r>
            <w:r w:rsidR="007522F7">
              <w:rPr>
                <w:b w:val="0"/>
              </w:rPr>
              <w:t xml:space="preserve"> </w:t>
            </w:r>
            <w:r w:rsidRPr="00C772FC">
              <w:rPr>
                <w:b w:val="0"/>
              </w:rPr>
              <w:t xml:space="preserve">CPD seen in monitoring activities.  </w:t>
            </w:r>
          </w:p>
          <w:p w14:paraId="12204993" w14:textId="161AF358" w:rsidR="009F4EBA" w:rsidRPr="00C772FC" w:rsidRDefault="00C772FC" w:rsidP="003A6D41">
            <w:pPr>
              <w:pStyle w:val="ListParagraph"/>
              <w:numPr>
                <w:ilvl w:val="0"/>
                <w:numId w:val="38"/>
              </w:numPr>
              <w:suppressAutoHyphens w:val="0"/>
              <w:autoSpaceDN/>
              <w:spacing w:after="0"/>
              <w:ind w:left="343"/>
              <w:contextualSpacing w:val="0"/>
              <w:rPr>
                <w:rStyle w:val="PlaceholderText"/>
                <w:rFonts w:cs="Arial"/>
                <w:iCs/>
                <w:color w:val="auto"/>
                <w:lang w:eastAsia="en-US"/>
              </w:rPr>
            </w:pPr>
            <w:r w:rsidRPr="007522F7">
              <w:rPr>
                <w:rFonts w:cs="Arial"/>
                <w:iCs/>
                <w:color w:val="auto"/>
                <w:lang w:eastAsia="en-US"/>
              </w:rPr>
              <w:t>E</w:t>
            </w:r>
            <w:r w:rsidR="00704433">
              <w:rPr>
                <w:rFonts w:cs="Arial"/>
                <w:iCs/>
                <w:color w:val="auto"/>
                <w:lang w:eastAsia="en-US"/>
              </w:rPr>
              <w:t xml:space="preserve">ffective high quality </w:t>
            </w:r>
            <w:r w:rsidR="009F4EBA" w:rsidRPr="007522F7">
              <w:rPr>
                <w:rFonts w:cs="Arial"/>
                <w:iCs/>
                <w:color w:val="auto"/>
                <w:lang w:eastAsia="en-US"/>
              </w:rPr>
              <w:t>feedback</w:t>
            </w:r>
            <w:r w:rsidR="007522F7">
              <w:rPr>
                <w:rFonts w:cs="Arial"/>
                <w:iCs/>
                <w:color w:val="auto"/>
                <w:lang w:eastAsia="en-US"/>
              </w:rPr>
              <w:t xml:space="preserve"> </w:t>
            </w:r>
            <w:r w:rsidR="00704433">
              <w:rPr>
                <w:rFonts w:cs="Arial"/>
                <w:iCs/>
                <w:color w:val="auto"/>
                <w:lang w:eastAsia="en-US"/>
              </w:rPr>
              <w:t xml:space="preserve">is given and leads to improved </w:t>
            </w:r>
            <w:r w:rsidR="003A6D41">
              <w:rPr>
                <w:rFonts w:cs="Arial"/>
                <w:iCs/>
                <w:color w:val="auto"/>
                <w:lang w:eastAsia="en-US"/>
              </w:rPr>
              <w:t xml:space="preserve">outcomes for all pupils. </w:t>
            </w:r>
          </w:p>
        </w:tc>
      </w:tr>
      <w:tr w:rsidR="00CC3D67" w14:paraId="2A7D550C" w14:textId="77777777" w:rsidTr="007522F7">
        <w:tc>
          <w:tcPr>
            <w:tcW w:w="29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0A" w14:textId="16A497AE" w:rsidR="00CC3D67" w:rsidRPr="00E27862" w:rsidRDefault="00CC3D67" w:rsidP="00CC3D67">
            <w:pPr>
              <w:pStyle w:val="TableRow"/>
              <w:spacing w:after="120"/>
              <w:ind w:left="29"/>
              <w:rPr>
                <w:rFonts w:cs="Arial"/>
                <w:color w:val="auto"/>
              </w:rPr>
            </w:pPr>
            <w:r w:rsidRPr="00E27862">
              <w:rPr>
                <w:rFonts w:cs="Arial"/>
                <w:color w:val="auto"/>
              </w:rPr>
              <w:t>Improved reading</w:t>
            </w:r>
            <w:r w:rsidR="007522F7">
              <w:rPr>
                <w:rFonts w:cs="Arial"/>
                <w:color w:val="auto"/>
              </w:rPr>
              <w:t xml:space="preserve">, writing and Maths </w:t>
            </w:r>
            <w:r w:rsidRPr="00E27862">
              <w:rPr>
                <w:rFonts w:cs="Arial"/>
                <w:color w:val="auto"/>
              </w:rPr>
              <w:t xml:space="preserve"> attainment among disadvantaged pupils</w:t>
            </w:r>
            <w:r w:rsidR="00A53675">
              <w:rPr>
                <w:rFonts w:cs="Arial"/>
                <w:color w:val="auto"/>
              </w:rPr>
              <w:t xml:space="preserve"> at the end of </w:t>
            </w:r>
            <w:r w:rsidR="007522F7">
              <w:rPr>
                <w:rFonts w:cs="Arial"/>
                <w:color w:val="auto"/>
              </w:rPr>
              <w:t xml:space="preserve">KS1 and </w:t>
            </w:r>
            <w:r w:rsidR="00A53675">
              <w:rPr>
                <w:rFonts w:cs="Arial"/>
                <w:color w:val="auto"/>
              </w:rPr>
              <w:t>KS2</w:t>
            </w:r>
            <w:r w:rsidRPr="00E27862">
              <w:rPr>
                <w:rFonts w:cs="Arial"/>
                <w:color w:val="auto"/>
              </w:rPr>
              <w:t xml:space="preserve"> </w:t>
            </w:r>
          </w:p>
        </w:tc>
        <w:tc>
          <w:tcPr>
            <w:tcW w:w="72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28A7E8" w14:textId="77777777" w:rsidR="00CC3D67" w:rsidRPr="002F7020" w:rsidRDefault="007522F7" w:rsidP="002F7020">
            <w:pPr>
              <w:pStyle w:val="TableRow"/>
              <w:numPr>
                <w:ilvl w:val="0"/>
                <w:numId w:val="32"/>
              </w:numPr>
              <w:ind w:left="343"/>
              <w:textAlignment w:val="baseline"/>
              <w:rPr>
                <w:rFonts w:cs="Arial"/>
              </w:rPr>
            </w:pPr>
            <w:r w:rsidRPr="00272550">
              <w:rPr>
                <w:rFonts w:cs="Arial"/>
                <w:color w:val="auto"/>
              </w:rPr>
              <w:t>K</w:t>
            </w:r>
            <w:r w:rsidR="002F7020">
              <w:rPr>
                <w:rFonts w:cs="Arial"/>
                <w:color w:val="auto"/>
              </w:rPr>
              <w:t>S1 and 2 writing</w:t>
            </w:r>
            <w:r w:rsidRPr="00272550">
              <w:rPr>
                <w:rFonts w:cs="Arial"/>
                <w:color w:val="auto"/>
                <w:lang w:eastAsia="en-US"/>
              </w:rPr>
              <w:t xml:space="preserve"> outcomes in 2024/25 show that disadvantaged pupils will attain </w:t>
            </w:r>
            <w:r>
              <w:rPr>
                <w:rFonts w:cs="Arial"/>
                <w:color w:val="auto"/>
                <w:lang w:eastAsia="en-US"/>
              </w:rPr>
              <w:t xml:space="preserve">ARE in reading </w:t>
            </w:r>
            <w:r w:rsidRPr="00272550">
              <w:rPr>
                <w:rFonts w:cs="Arial"/>
                <w:color w:val="auto"/>
                <w:lang w:eastAsia="en-US"/>
              </w:rPr>
              <w:t>in line with non-</w:t>
            </w:r>
            <w:r>
              <w:rPr>
                <w:rFonts w:cs="Arial"/>
                <w:color w:val="auto"/>
                <w:lang w:eastAsia="en-US"/>
              </w:rPr>
              <w:t>disadvantaged</w:t>
            </w:r>
            <w:r w:rsidRPr="00272550">
              <w:rPr>
                <w:rFonts w:cs="Arial"/>
                <w:color w:val="auto"/>
                <w:lang w:eastAsia="en-US"/>
              </w:rPr>
              <w:t xml:space="preserve"> </w:t>
            </w:r>
            <w:r>
              <w:rPr>
                <w:rFonts w:cs="Arial"/>
                <w:color w:val="auto"/>
                <w:lang w:eastAsia="en-US"/>
              </w:rPr>
              <w:t xml:space="preserve">pupils. </w:t>
            </w:r>
          </w:p>
          <w:p w14:paraId="2A7D550B" w14:textId="1B762F0B" w:rsidR="002F7020" w:rsidRPr="007522F7" w:rsidRDefault="002F7020" w:rsidP="002F7020">
            <w:pPr>
              <w:pStyle w:val="TableRow"/>
              <w:numPr>
                <w:ilvl w:val="0"/>
                <w:numId w:val="32"/>
              </w:numPr>
              <w:ind w:left="343"/>
              <w:textAlignment w:val="baseline"/>
              <w:rPr>
                <w:rFonts w:cs="Arial"/>
              </w:rPr>
            </w:pPr>
            <w:r w:rsidRPr="00272550">
              <w:rPr>
                <w:rFonts w:cs="Arial"/>
                <w:color w:val="auto"/>
              </w:rPr>
              <w:t>K</w:t>
            </w:r>
            <w:r>
              <w:rPr>
                <w:rFonts w:cs="Arial"/>
                <w:color w:val="auto"/>
              </w:rPr>
              <w:t>S1 and 2 maths</w:t>
            </w:r>
            <w:r w:rsidRPr="00272550">
              <w:rPr>
                <w:rFonts w:cs="Arial"/>
                <w:color w:val="auto"/>
                <w:lang w:eastAsia="en-US"/>
              </w:rPr>
              <w:t xml:space="preserve"> outcomes in 2024/25 show that disadvantaged pupils will attain </w:t>
            </w:r>
            <w:r>
              <w:rPr>
                <w:rFonts w:cs="Arial"/>
                <w:color w:val="auto"/>
                <w:lang w:eastAsia="en-US"/>
              </w:rPr>
              <w:t xml:space="preserve">ARE in reading </w:t>
            </w:r>
            <w:r w:rsidRPr="00272550">
              <w:rPr>
                <w:rFonts w:cs="Arial"/>
                <w:color w:val="auto"/>
                <w:lang w:eastAsia="en-US"/>
              </w:rPr>
              <w:t>in line with non-</w:t>
            </w:r>
            <w:r>
              <w:rPr>
                <w:rFonts w:cs="Arial"/>
                <w:color w:val="auto"/>
                <w:lang w:eastAsia="en-US"/>
              </w:rPr>
              <w:t>disadvantaged</w:t>
            </w:r>
            <w:r w:rsidRPr="00272550">
              <w:rPr>
                <w:rFonts w:cs="Arial"/>
                <w:color w:val="auto"/>
                <w:lang w:eastAsia="en-US"/>
              </w:rPr>
              <w:t xml:space="preserve"> </w:t>
            </w:r>
            <w:r>
              <w:rPr>
                <w:rFonts w:cs="Arial"/>
                <w:color w:val="auto"/>
                <w:lang w:eastAsia="en-US"/>
              </w:rPr>
              <w:t>pupils.</w:t>
            </w:r>
          </w:p>
        </w:tc>
      </w:tr>
      <w:tr w:rsidR="00CC3D67" w:rsidRPr="00B32FF3" w14:paraId="0A29906D" w14:textId="77777777" w:rsidTr="007522F7">
        <w:tc>
          <w:tcPr>
            <w:tcW w:w="294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91EC72" w14:textId="2775D17B" w:rsidR="00CC3D67" w:rsidRDefault="00CC3D67" w:rsidP="00CC3D67">
            <w:pPr>
              <w:spacing w:before="60" w:line="240" w:lineRule="auto"/>
              <w:ind w:left="29"/>
              <w:rPr>
                <w:rFonts w:cs="Arial"/>
                <w:color w:val="auto"/>
              </w:rPr>
            </w:pPr>
            <w:r w:rsidRPr="00E27862">
              <w:rPr>
                <w:rFonts w:cs="Arial"/>
                <w:color w:val="auto"/>
              </w:rPr>
              <w:t>To achieve and sustain im</w:t>
            </w:r>
            <w:r w:rsidR="002F7020">
              <w:rPr>
                <w:rFonts w:cs="Arial"/>
                <w:color w:val="auto"/>
              </w:rPr>
              <w:t>proved wellbeing for all pupils, particularly the</w:t>
            </w:r>
            <w:r w:rsidRPr="00E27862">
              <w:rPr>
                <w:rFonts w:cs="Arial"/>
                <w:color w:val="auto"/>
              </w:rPr>
              <w:t xml:space="preserve"> disadvantaged pupils.</w:t>
            </w:r>
          </w:p>
          <w:p w14:paraId="1855F8B1" w14:textId="77777777" w:rsidR="00A53675" w:rsidRDefault="00A53675" w:rsidP="00CC3D67">
            <w:pPr>
              <w:spacing w:before="60" w:line="240" w:lineRule="auto"/>
              <w:ind w:left="29"/>
              <w:rPr>
                <w:rFonts w:cs="Arial"/>
                <w:color w:val="auto"/>
              </w:rPr>
            </w:pPr>
          </w:p>
          <w:p w14:paraId="23F1BF86" w14:textId="2C9CD9A2" w:rsidR="00A53675" w:rsidRPr="00E27862" w:rsidRDefault="00A53675" w:rsidP="00A53675">
            <w:pPr>
              <w:pStyle w:val="TableRow"/>
              <w:rPr>
                <w:rFonts w:cs="Arial"/>
                <w:color w:val="auto"/>
              </w:rPr>
            </w:pPr>
          </w:p>
        </w:tc>
        <w:tc>
          <w:tcPr>
            <w:tcW w:w="725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375F28" w14:textId="63D0C7BF" w:rsidR="002F7020" w:rsidRDefault="002F7020" w:rsidP="002F7020">
            <w:pPr>
              <w:suppressAutoHyphens w:val="0"/>
              <w:autoSpaceDN/>
              <w:spacing w:before="60" w:after="60" w:line="240" w:lineRule="auto"/>
              <w:ind w:left="34" w:right="57"/>
              <w:rPr>
                <w:rFonts w:cs="Arial"/>
                <w:color w:val="auto"/>
              </w:rPr>
            </w:pPr>
            <w:r>
              <w:rPr>
                <w:rFonts w:cs="Arial"/>
                <w:color w:val="auto"/>
              </w:rPr>
              <w:t>By 2024</w:t>
            </w:r>
            <w:r w:rsidR="00D33467">
              <w:rPr>
                <w:rFonts w:cs="Arial"/>
                <w:color w:val="auto"/>
              </w:rPr>
              <w:t>:</w:t>
            </w:r>
          </w:p>
          <w:p w14:paraId="63F582BA" w14:textId="77777777" w:rsidR="003A6D41" w:rsidRDefault="003A6D41" w:rsidP="003A6D41">
            <w:pPr>
              <w:pStyle w:val="ListParagraph"/>
              <w:numPr>
                <w:ilvl w:val="0"/>
                <w:numId w:val="44"/>
              </w:numPr>
              <w:suppressAutoHyphens w:val="0"/>
              <w:autoSpaceDN/>
              <w:spacing w:before="60" w:after="60" w:line="240" w:lineRule="auto"/>
              <w:ind w:left="343" w:right="57"/>
              <w:rPr>
                <w:rFonts w:cs="Arial"/>
                <w:color w:val="auto"/>
              </w:rPr>
            </w:pPr>
            <w:r>
              <w:rPr>
                <w:rFonts w:cs="Arial"/>
                <w:color w:val="auto"/>
              </w:rPr>
              <w:t xml:space="preserve">A clear whole school approach for mental health and wellbeing is in place and embedded. </w:t>
            </w:r>
          </w:p>
          <w:p w14:paraId="5B972235" w14:textId="77777777" w:rsidR="003A6D41" w:rsidRDefault="003A6D41" w:rsidP="003A6D41">
            <w:pPr>
              <w:pStyle w:val="ListParagraph"/>
              <w:numPr>
                <w:ilvl w:val="0"/>
                <w:numId w:val="44"/>
              </w:numPr>
              <w:suppressAutoHyphens w:val="0"/>
              <w:autoSpaceDN/>
              <w:spacing w:before="60" w:after="60" w:line="240" w:lineRule="auto"/>
              <w:ind w:left="343" w:right="57"/>
              <w:rPr>
                <w:rFonts w:cs="Arial"/>
                <w:color w:val="auto"/>
              </w:rPr>
            </w:pPr>
            <w:r>
              <w:rPr>
                <w:rFonts w:cs="Arial"/>
                <w:color w:val="auto"/>
              </w:rPr>
              <w:t xml:space="preserve">The RSHE scheme of work is embedded, reviewed and adapted to meet the needs of the current cohorts. </w:t>
            </w:r>
          </w:p>
          <w:p w14:paraId="6DFEA08C" w14:textId="26FD3997" w:rsidR="00CC3D67" w:rsidRDefault="002F7020" w:rsidP="003A6D41">
            <w:pPr>
              <w:pStyle w:val="ListParagraph"/>
              <w:numPr>
                <w:ilvl w:val="0"/>
                <w:numId w:val="44"/>
              </w:numPr>
              <w:suppressAutoHyphens w:val="0"/>
              <w:autoSpaceDN/>
              <w:spacing w:before="60" w:after="60" w:line="240" w:lineRule="auto"/>
              <w:ind w:left="343" w:right="57"/>
              <w:rPr>
                <w:rFonts w:cs="Arial"/>
                <w:color w:val="auto"/>
              </w:rPr>
            </w:pPr>
            <w:r>
              <w:rPr>
                <w:rFonts w:cs="Arial"/>
                <w:color w:val="auto"/>
              </w:rPr>
              <w:t>Pupil</w:t>
            </w:r>
            <w:r w:rsidR="00CC3D67" w:rsidRPr="002F7020">
              <w:rPr>
                <w:rFonts w:cs="Arial"/>
                <w:color w:val="auto"/>
              </w:rPr>
              <w:t xml:space="preserve"> voice, </w:t>
            </w:r>
            <w:r>
              <w:rPr>
                <w:rFonts w:cs="Arial"/>
                <w:color w:val="auto"/>
              </w:rPr>
              <w:t xml:space="preserve">pupil </w:t>
            </w:r>
            <w:r w:rsidR="00CC3D67" w:rsidRPr="002F7020">
              <w:rPr>
                <w:rFonts w:cs="Arial"/>
                <w:color w:val="auto"/>
              </w:rPr>
              <w:t>and parent surveys and teacher observations</w:t>
            </w:r>
            <w:r w:rsidRPr="002F7020">
              <w:rPr>
                <w:rFonts w:cs="Arial"/>
                <w:color w:val="auto"/>
              </w:rPr>
              <w:t xml:space="preserve"> </w:t>
            </w:r>
            <w:r>
              <w:rPr>
                <w:rFonts w:cs="Arial"/>
                <w:color w:val="auto"/>
              </w:rPr>
              <w:t xml:space="preserve">reveal </w:t>
            </w:r>
            <w:r w:rsidRPr="002F7020">
              <w:rPr>
                <w:rFonts w:cs="Arial"/>
                <w:color w:val="auto"/>
              </w:rPr>
              <w:t xml:space="preserve">sustained </w:t>
            </w:r>
            <w:r w:rsidR="003A6D41">
              <w:rPr>
                <w:rFonts w:cs="Arial"/>
                <w:color w:val="auto"/>
              </w:rPr>
              <w:t xml:space="preserve">positive mental </w:t>
            </w:r>
            <w:r w:rsidRPr="002F7020">
              <w:rPr>
                <w:rFonts w:cs="Arial"/>
                <w:color w:val="auto"/>
              </w:rPr>
              <w:t>wellbeing</w:t>
            </w:r>
            <w:r w:rsidR="003A6D41">
              <w:rPr>
                <w:rFonts w:cs="Arial"/>
                <w:color w:val="auto"/>
              </w:rPr>
              <w:t>.</w:t>
            </w:r>
          </w:p>
          <w:p w14:paraId="448B43D3" w14:textId="7467E106" w:rsidR="002F7020" w:rsidRDefault="002F7020" w:rsidP="002F7020">
            <w:pPr>
              <w:pStyle w:val="ListParagraph"/>
              <w:numPr>
                <w:ilvl w:val="0"/>
                <w:numId w:val="44"/>
              </w:numPr>
              <w:suppressAutoHyphens w:val="0"/>
              <w:autoSpaceDN/>
              <w:spacing w:before="60" w:after="60" w:line="240" w:lineRule="auto"/>
              <w:ind w:left="343" w:right="57"/>
              <w:rPr>
                <w:rFonts w:cs="Arial"/>
                <w:color w:val="auto"/>
              </w:rPr>
            </w:pPr>
            <w:r>
              <w:rPr>
                <w:rFonts w:cs="Arial"/>
                <w:color w:val="auto"/>
              </w:rPr>
              <w:t xml:space="preserve">Participation </w:t>
            </w:r>
            <w:r w:rsidR="003A6D41">
              <w:rPr>
                <w:rFonts w:cs="Arial"/>
                <w:color w:val="auto"/>
              </w:rPr>
              <w:t xml:space="preserve">by all pupils in enrichment activities is </w:t>
            </w:r>
            <w:r>
              <w:rPr>
                <w:rFonts w:cs="Arial"/>
                <w:color w:val="auto"/>
              </w:rPr>
              <w:t>sustained.</w:t>
            </w:r>
          </w:p>
          <w:p w14:paraId="0C4D3CFE" w14:textId="6E7D34D3" w:rsidR="002F7020" w:rsidRPr="003A6D41" w:rsidRDefault="002F7020" w:rsidP="003A6D41">
            <w:pPr>
              <w:pStyle w:val="ListParagraph"/>
              <w:numPr>
                <w:ilvl w:val="0"/>
                <w:numId w:val="44"/>
              </w:numPr>
              <w:suppressAutoHyphens w:val="0"/>
              <w:autoSpaceDN/>
              <w:spacing w:before="60" w:after="60" w:line="240" w:lineRule="auto"/>
              <w:ind w:left="343" w:right="57"/>
              <w:rPr>
                <w:rFonts w:cs="Arial"/>
                <w:color w:val="auto"/>
              </w:rPr>
            </w:pPr>
            <w:r>
              <w:rPr>
                <w:rFonts w:cs="Arial"/>
                <w:color w:val="auto"/>
              </w:rPr>
              <w:t xml:space="preserve">Impact of the learning mentor sessions shows improvements in social and emotional needs form baseline on Socially Speaking questionnaire or Boxall profile. </w:t>
            </w:r>
          </w:p>
        </w:tc>
      </w:tr>
      <w:tr w:rsidR="00CC3D67" w:rsidRPr="00B32FF3" w14:paraId="46FEADAA" w14:textId="77777777" w:rsidTr="007522F7">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93B28B" w:rsidR="00CC3D67" w:rsidRPr="00E27862" w:rsidRDefault="00CC3D67" w:rsidP="002F7020">
            <w:pPr>
              <w:pStyle w:val="TableRow"/>
              <w:ind w:left="29"/>
              <w:rPr>
                <w:rFonts w:cs="Arial"/>
                <w:color w:val="auto"/>
              </w:rPr>
            </w:pPr>
            <w:r w:rsidRPr="00E27862">
              <w:rPr>
                <w:rFonts w:cs="Arial"/>
                <w:color w:val="auto"/>
              </w:rPr>
              <w:t xml:space="preserve">To </w:t>
            </w:r>
            <w:r w:rsidR="002F7020">
              <w:rPr>
                <w:rFonts w:cs="Arial"/>
                <w:color w:val="auto"/>
              </w:rPr>
              <w:t xml:space="preserve">sustain high </w:t>
            </w:r>
            <w:r w:rsidRPr="00E27862">
              <w:rPr>
                <w:rFonts w:cs="Arial"/>
                <w:color w:val="auto"/>
              </w:rPr>
              <w:t>attendance f</w:t>
            </w:r>
            <w:r w:rsidR="006A6603">
              <w:rPr>
                <w:rFonts w:cs="Arial"/>
                <w:color w:val="auto"/>
              </w:rPr>
              <w:t xml:space="preserve">or all pupils, particularly the </w:t>
            </w:r>
            <w:r w:rsidRPr="00E27862">
              <w:rPr>
                <w:rFonts w:cs="Arial"/>
                <w:color w:val="auto"/>
              </w:rPr>
              <w:t>disadvantaged pupils.</w:t>
            </w:r>
          </w:p>
        </w:tc>
        <w:tc>
          <w:tcPr>
            <w:tcW w:w="7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EEF843" w14:textId="77777777" w:rsidR="00D33467" w:rsidRDefault="00D33467" w:rsidP="00D33467">
            <w:pPr>
              <w:suppressAutoHyphens w:val="0"/>
              <w:autoSpaceDN/>
              <w:spacing w:before="60" w:after="60" w:line="240" w:lineRule="auto"/>
              <w:ind w:left="57" w:right="57"/>
              <w:rPr>
                <w:rFonts w:cs="Arial"/>
                <w:color w:val="auto"/>
              </w:rPr>
            </w:pPr>
            <w:r>
              <w:rPr>
                <w:rFonts w:cs="Arial"/>
                <w:color w:val="auto"/>
              </w:rPr>
              <w:t>By 2024:</w:t>
            </w:r>
          </w:p>
          <w:p w14:paraId="5D6EA2DF" w14:textId="608F1DC1" w:rsidR="00D33467" w:rsidRPr="00702BF1" w:rsidRDefault="00D33467" w:rsidP="006A6603">
            <w:pPr>
              <w:pStyle w:val="ListParagraph"/>
              <w:numPr>
                <w:ilvl w:val="0"/>
                <w:numId w:val="45"/>
              </w:numPr>
              <w:suppressAutoHyphens w:val="0"/>
              <w:autoSpaceDN/>
              <w:spacing w:before="60" w:after="60" w:line="240" w:lineRule="auto"/>
              <w:ind w:left="343" w:right="57"/>
              <w:rPr>
                <w:rFonts w:cs="Arial"/>
                <w:color w:val="auto"/>
              </w:rPr>
            </w:pPr>
            <w:r w:rsidRPr="006A6603">
              <w:rPr>
                <w:rFonts w:cs="Arial"/>
                <w:color w:val="auto"/>
              </w:rPr>
              <w:t xml:space="preserve">Pupil absence is no higher </w:t>
            </w:r>
            <w:r w:rsidR="00702BF1" w:rsidRPr="00702BF1">
              <w:rPr>
                <w:rFonts w:cs="Arial"/>
                <w:color w:val="auto"/>
              </w:rPr>
              <w:t>than 4.7%</w:t>
            </w:r>
            <w:r w:rsidRPr="00702BF1">
              <w:rPr>
                <w:rFonts w:cs="Arial"/>
                <w:color w:val="auto"/>
              </w:rPr>
              <w:t xml:space="preserve">   </w:t>
            </w:r>
          </w:p>
          <w:p w14:paraId="23BD7206" w14:textId="77777777" w:rsidR="00D33467" w:rsidRPr="00702BF1" w:rsidRDefault="00D33467" w:rsidP="006A6603">
            <w:pPr>
              <w:pStyle w:val="ListParagraph"/>
              <w:numPr>
                <w:ilvl w:val="0"/>
                <w:numId w:val="45"/>
              </w:numPr>
              <w:suppressAutoHyphens w:val="0"/>
              <w:autoSpaceDN/>
              <w:spacing w:before="60" w:after="60" w:line="240" w:lineRule="auto"/>
              <w:ind w:left="343" w:right="57"/>
              <w:rPr>
                <w:rFonts w:cs="Arial"/>
                <w:color w:val="auto"/>
              </w:rPr>
            </w:pPr>
            <w:r w:rsidRPr="00702BF1">
              <w:rPr>
                <w:rFonts w:cs="Arial"/>
                <w:color w:val="auto"/>
              </w:rPr>
              <w:t>T</w:t>
            </w:r>
            <w:r w:rsidR="00CC3D67" w:rsidRPr="00702BF1">
              <w:rPr>
                <w:rFonts w:cs="Arial"/>
                <w:color w:val="auto"/>
              </w:rPr>
              <w:t>he</w:t>
            </w:r>
            <w:r w:rsidRPr="00702BF1">
              <w:rPr>
                <w:rFonts w:cs="Arial"/>
                <w:color w:val="auto"/>
              </w:rPr>
              <w:t xml:space="preserve">re is no </w:t>
            </w:r>
            <w:r w:rsidR="00CC3D67" w:rsidRPr="00702BF1">
              <w:rPr>
                <w:rFonts w:cs="Arial"/>
                <w:color w:val="auto"/>
              </w:rPr>
              <w:t>attendance gap between disadvantaged pupils and their non-disadvantaged peers</w:t>
            </w:r>
            <w:r w:rsidRPr="00702BF1">
              <w:rPr>
                <w:rFonts w:cs="Arial"/>
                <w:color w:val="auto"/>
              </w:rPr>
              <w:t>.</w:t>
            </w:r>
            <w:r w:rsidR="00CC3D67" w:rsidRPr="00702BF1">
              <w:rPr>
                <w:rFonts w:cs="Arial"/>
                <w:color w:val="auto"/>
              </w:rPr>
              <w:t xml:space="preserve"> </w:t>
            </w:r>
          </w:p>
          <w:p w14:paraId="54522D75" w14:textId="77777777" w:rsidR="003A6D41" w:rsidRDefault="00D33467" w:rsidP="006A6603">
            <w:pPr>
              <w:pStyle w:val="ListParagraph"/>
              <w:numPr>
                <w:ilvl w:val="0"/>
                <w:numId w:val="45"/>
              </w:numPr>
              <w:suppressAutoHyphens w:val="0"/>
              <w:autoSpaceDN/>
              <w:spacing w:before="60" w:after="60" w:line="240" w:lineRule="auto"/>
              <w:ind w:left="343" w:right="57"/>
              <w:rPr>
                <w:rFonts w:cs="Arial"/>
                <w:color w:val="auto"/>
              </w:rPr>
            </w:pPr>
            <w:r w:rsidRPr="00702BF1">
              <w:rPr>
                <w:rFonts w:cs="Arial"/>
                <w:color w:val="auto"/>
              </w:rPr>
              <w:t>T</w:t>
            </w:r>
            <w:r w:rsidR="00CC3D67" w:rsidRPr="00702BF1">
              <w:rPr>
                <w:rFonts w:cs="Arial"/>
                <w:color w:val="auto"/>
              </w:rPr>
              <w:t xml:space="preserve">he percentage of all pupils who are persistently absent </w:t>
            </w:r>
            <w:r w:rsidRPr="00702BF1">
              <w:rPr>
                <w:rFonts w:cs="Arial"/>
                <w:color w:val="auto"/>
              </w:rPr>
              <w:t xml:space="preserve">is </w:t>
            </w:r>
            <w:r w:rsidR="00702BF1" w:rsidRPr="00702BF1">
              <w:rPr>
                <w:rFonts w:cs="Arial"/>
                <w:color w:val="auto"/>
              </w:rPr>
              <w:t>below 10.9%</w:t>
            </w:r>
            <w:r w:rsidR="00CC3D67" w:rsidRPr="00702BF1">
              <w:rPr>
                <w:rFonts w:cs="Arial"/>
                <w:color w:val="auto"/>
              </w:rPr>
              <w:t xml:space="preserve"> </w:t>
            </w:r>
          </w:p>
          <w:p w14:paraId="6F8BF5CE" w14:textId="7D8FFD5B" w:rsidR="006A6603" w:rsidRPr="00702BF1" w:rsidRDefault="003A6D41" w:rsidP="006A6603">
            <w:pPr>
              <w:pStyle w:val="ListParagraph"/>
              <w:numPr>
                <w:ilvl w:val="0"/>
                <w:numId w:val="45"/>
              </w:numPr>
              <w:suppressAutoHyphens w:val="0"/>
              <w:autoSpaceDN/>
              <w:spacing w:before="60" w:after="60" w:line="240" w:lineRule="auto"/>
              <w:ind w:left="343" w:right="57"/>
              <w:rPr>
                <w:rFonts w:cs="Arial"/>
                <w:color w:val="auto"/>
              </w:rPr>
            </w:pPr>
            <w:r>
              <w:rPr>
                <w:rFonts w:cs="Arial"/>
                <w:color w:val="auto"/>
              </w:rPr>
              <w:t xml:space="preserve">There is no gap between the persistent absence figures for disadvantaged and non-disadvantaged pupils. </w:t>
            </w:r>
          </w:p>
          <w:p w14:paraId="7182EE59" w14:textId="62830742" w:rsidR="00CC3D67" w:rsidRPr="006A6603" w:rsidRDefault="00CC3D67" w:rsidP="006A6603">
            <w:pPr>
              <w:pStyle w:val="ListParagraph"/>
              <w:numPr>
                <w:ilvl w:val="0"/>
                <w:numId w:val="45"/>
              </w:numPr>
              <w:suppressAutoHyphens w:val="0"/>
              <w:autoSpaceDN/>
              <w:spacing w:before="60" w:after="60" w:line="240" w:lineRule="auto"/>
              <w:ind w:left="343" w:right="57"/>
              <w:rPr>
                <w:rFonts w:cs="Arial"/>
                <w:color w:val="auto"/>
              </w:rPr>
            </w:pPr>
            <w:r w:rsidRPr="00702BF1">
              <w:rPr>
                <w:rFonts w:cs="Arial"/>
                <w:color w:val="auto"/>
              </w:rPr>
              <w:t>In hou</w:t>
            </w:r>
            <w:r w:rsidR="006A6603" w:rsidRPr="00702BF1">
              <w:rPr>
                <w:rFonts w:cs="Arial"/>
                <w:color w:val="auto"/>
              </w:rPr>
              <w:t>se data shows disadvantaged</w:t>
            </w:r>
            <w:r w:rsidR="00E56D4D" w:rsidRPr="00702BF1">
              <w:rPr>
                <w:rFonts w:cs="Arial"/>
                <w:color w:val="auto"/>
              </w:rPr>
              <w:t xml:space="preserve"> pupils perform b</w:t>
            </w:r>
            <w:r w:rsidR="006A6603" w:rsidRPr="00702BF1">
              <w:rPr>
                <w:rFonts w:cs="Arial"/>
                <w:color w:val="auto"/>
              </w:rPr>
              <w:t>roadly in line with non-disadvantaged pupils.</w:t>
            </w:r>
            <w:r w:rsidR="006A6603" w:rsidRPr="006A6603">
              <w:rPr>
                <w:rFonts w:cs="Arial"/>
                <w:color w:val="auto"/>
              </w:rPr>
              <w:t xml:space="preserve"> </w:t>
            </w:r>
            <w:r w:rsidRPr="006A6603">
              <w:rPr>
                <w:rFonts w:cs="Arial"/>
                <w:color w:val="auto"/>
              </w:rPr>
              <w:t xml:space="preserve"> </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6F08F625" w:rsidR="00E66558" w:rsidRDefault="009D71E8">
      <w:pPr>
        <w:pStyle w:val="Heading3"/>
      </w:pPr>
      <w:r>
        <w:t xml:space="preserve">Teaching </w:t>
      </w:r>
    </w:p>
    <w:p w14:paraId="2A7D5515" w14:textId="1767B299" w:rsidR="00E66558" w:rsidRPr="00750C33" w:rsidRDefault="009D71E8" w:rsidP="00877501">
      <w:pPr>
        <w:rPr>
          <w:color w:val="0070C0"/>
        </w:rPr>
      </w:pPr>
      <w:r>
        <w:t xml:space="preserve">Budgeted cost: </w:t>
      </w:r>
      <w:r w:rsidRPr="00E27862">
        <w:rPr>
          <w:b/>
          <w:bCs/>
          <w:color w:val="auto"/>
        </w:rPr>
        <w:t>£</w:t>
      </w:r>
      <w:r w:rsidR="00F954EC">
        <w:rPr>
          <w:b/>
          <w:bCs/>
          <w:color w:val="auto"/>
        </w:rPr>
        <w:t>59</w:t>
      </w:r>
      <w:r w:rsidR="00534DC4">
        <w:rPr>
          <w:b/>
          <w:bCs/>
          <w:color w:val="auto"/>
        </w:rPr>
        <w:t>,000</w:t>
      </w:r>
    </w:p>
    <w:tbl>
      <w:tblPr>
        <w:tblW w:w="5526" w:type="pct"/>
        <w:tblLayout w:type="fixed"/>
        <w:tblCellMar>
          <w:left w:w="10" w:type="dxa"/>
          <w:right w:w="10" w:type="dxa"/>
        </w:tblCellMar>
        <w:tblLook w:val="04A0" w:firstRow="1" w:lastRow="0" w:firstColumn="1" w:lastColumn="0" w:noHBand="0" w:noVBand="1"/>
      </w:tblPr>
      <w:tblGrid>
        <w:gridCol w:w="3539"/>
        <w:gridCol w:w="5387"/>
        <w:gridCol w:w="1558"/>
      </w:tblGrid>
      <w:tr w:rsidR="00E66558" w14:paraId="2A7D5519" w14:textId="77777777" w:rsidTr="0050141A">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50141A">
        <w:trPr>
          <w:trHeight w:val="26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1D7D2" w14:textId="77777777" w:rsidR="001B4F52" w:rsidRDefault="003E3735" w:rsidP="00A6450E">
            <w:pPr>
              <w:pStyle w:val="TableRow"/>
              <w:spacing w:after="240"/>
              <w:ind w:left="29"/>
              <w:rPr>
                <w:iCs/>
                <w:color w:val="auto"/>
                <w:lang w:val="en-US"/>
              </w:rPr>
            </w:pPr>
            <w:r w:rsidRPr="00E27862">
              <w:rPr>
                <w:iCs/>
                <w:color w:val="auto"/>
                <w:lang w:val="en-US"/>
              </w:rPr>
              <w:t xml:space="preserve">Purchase </w:t>
            </w:r>
            <w:r w:rsidR="001B4F52">
              <w:rPr>
                <w:iCs/>
                <w:color w:val="auto"/>
                <w:lang w:val="en-US"/>
              </w:rPr>
              <w:t xml:space="preserve">further </w:t>
            </w:r>
            <w:r w:rsidRPr="00E27862">
              <w:rPr>
                <w:iCs/>
                <w:color w:val="auto"/>
                <w:lang w:val="en-US"/>
              </w:rPr>
              <w:t>s</w:t>
            </w:r>
            <w:r w:rsidR="000F4EB1" w:rsidRPr="00E27862">
              <w:rPr>
                <w:iCs/>
                <w:color w:val="auto"/>
                <w:lang w:val="en-US"/>
              </w:rPr>
              <w:t>tandardised diagnostic assessments</w:t>
            </w:r>
            <w:r w:rsidR="001B4F52">
              <w:rPr>
                <w:iCs/>
                <w:color w:val="auto"/>
                <w:lang w:val="en-US"/>
              </w:rPr>
              <w:t xml:space="preserve"> and analysis tools.  </w:t>
            </w:r>
          </w:p>
          <w:p w14:paraId="73618273" w14:textId="2770E12C" w:rsidR="001B4F52" w:rsidRDefault="001B4F52" w:rsidP="00A6450E">
            <w:pPr>
              <w:pStyle w:val="TableRow"/>
              <w:spacing w:after="240"/>
              <w:ind w:left="29"/>
              <w:rPr>
                <w:iCs/>
                <w:color w:val="auto"/>
                <w:lang w:val="en-US"/>
              </w:rPr>
            </w:pPr>
            <w:r>
              <w:rPr>
                <w:iCs/>
                <w:color w:val="auto"/>
                <w:lang w:val="en-US"/>
              </w:rPr>
              <w:t>NFER and hub access</w:t>
            </w:r>
            <w:r w:rsidR="003A6D41">
              <w:rPr>
                <w:iCs/>
                <w:color w:val="auto"/>
                <w:lang w:val="en-US"/>
              </w:rPr>
              <w:t xml:space="preserve"> for analysis</w:t>
            </w:r>
          </w:p>
          <w:p w14:paraId="2BDB11E6" w14:textId="77777777" w:rsidR="004414EB" w:rsidRDefault="001B4F52" w:rsidP="00440409">
            <w:pPr>
              <w:pStyle w:val="TableRow"/>
              <w:spacing w:after="240"/>
              <w:ind w:left="0"/>
              <w:rPr>
                <w:iCs/>
                <w:color w:val="auto"/>
                <w:lang w:val="en-US"/>
              </w:rPr>
            </w:pPr>
            <w:r>
              <w:rPr>
                <w:iCs/>
                <w:color w:val="auto"/>
                <w:lang w:val="en-US"/>
              </w:rPr>
              <w:t>OUP N</w:t>
            </w:r>
            <w:r w:rsidR="00440409">
              <w:rPr>
                <w:iCs/>
                <w:color w:val="auto"/>
                <w:lang w:val="en-US"/>
              </w:rPr>
              <w:t xml:space="preserve">C tests and Merit analysis tool. </w:t>
            </w:r>
          </w:p>
          <w:p w14:paraId="2A7D551A" w14:textId="58CB2D51" w:rsidR="00147BD1" w:rsidRPr="00440409" w:rsidRDefault="00147BD1" w:rsidP="00147BD1">
            <w:pPr>
              <w:pStyle w:val="TableRow"/>
              <w:spacing w:after="240"/>
              <w:ind w:left="0"/>
              <w:rPr>
                <w:iCs/>
                <w:color w:val="auto"/>
                <w:lang w:val="en-US"/>
              </w:rPr>
            </w:pPr>
            <w:r>
              <w:rPr>
                <w:iCs/>
                <w:color w:val="auto"/>
                <w:lang w:val="en-US"/>
              </w:rPr>
              <w:t xml:space="preserve">Embed the process of ensuring ongoing diagnostic assessments take place in learning journeys.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1E3E06" w14:textId="0E5CF491" w:rsidR="001E4EE6" w:rsidRPr="003A6D41" w:rsidRDefault="00D637A7" w:rsidP="003A6D41">
            <w:pPr>
              <w:pStyle w:val="TableRowCentered"/>
              <w:jc w:val="left"/>
              <w:rPr>
                <w:color w:val="auto"/>
                <w:szCs w:val="24"/>
              </w:rPr>
            </w:pPr>
            <w:r w:rsidRPr="00E27862">
              <w:rPr>
                <w:color w:val="auto"/>
                <w:szCs w:val="24"/>
              </w:rPr>
              <w:t>S</w:t>
            </w:r>
            <w:r w:rsidR="00A92F8B" w:rsidRPr="00E27862">
              <w:rPr>
                <w:color w:val="auto"/>
                <w:szCs w:val="24"/>
              </w:rPr>
              <w:t xml:space="preserve">tandardised tests </w:t>
            </w:r>
            <w:r w:rsidR="001B4F52">
              <w:rPr>
                <w:color w:val="auto"/>
                <w:szCs w:val="24"/>
              </w:rPr>
              <w:t xml:space="preserve">have provided </w:t>
            </w:r>
            <w:r w:rsidR="0090459D" w:rsidRPr="00E27862">
              <w:rPr>
                <w:color w:val="auto"/>
                <w:szCs w:val="24"/>
              </w:rPr>
              <w:t xml:space="preserve">reliable insights </w:t>
            </w:r>
            <w:r w:rsidR="00324224" w:rsidRPr="00E27862">
              <w:rPr>
                <w:color w:val="auto"/>
                <w:szCs w:val="24"/>
              </w:rPr>
              <w:t>into the specific streng</w:t>
            </w:r>
            <w:r w:rsidR="0058405F" w:rsidRPr="00E27862">
              <w:rPr>
                <w:color w:val="auto"/>
                <w:szCs w:val="24"/>
              </w:rPr>
              <w:t xml:space="preserve">ths and </w:t>
            </w:r>
            <w:r w:rsidR="001B4F52">
              <w:rPr>
                <w:color w:val="auto"/>
                <w:szCs w:val="24"/>
              </w:rPr>
              <w:t xml:space="preserve">gaps in knowledge for </w:t>
            </w:r>
            <w:r w:rsidR="0058405F" w:rsidRPr="00E27862">
              <w:rPr>
                <w:color w:val="auto"/>
                <w:szCs w:val="24"/>
              </w:rPr>
              <w:t>each pupil</w:t>
            </w:r>
            <w:r w:rsidR="00867B4E" w:rsidRPr="00E27862">
              <w:rPr>
                <w:color w:val="auto"/>
                <w:szCs w:val="24"/>
              </w:rPr>
              <w:t xml:space="preserve"> </w:t>
            </w:r>
            <w:r w:rsidR="001B4F52">
              <w:rPr>
                <w:color w:val="auto"/>
                <w:szCs w:val="24"/>
              </w:rPr>
              <w:t xml:space="preserve">(and trends across cohorts) </w:t>
            </w:r>
            <w:r w:rsidR="003A6D41">
              <w:rPr>
                <w:color w:val="auto"/>
                <w:szCs w:val="24"/>
              </w:rPr>
              <w:t>this is used to help ensure pupils</w:t>
            </w:r>
            <w:r w:rsidR="00867B4E" w:rsidRPr="00E27862">
              <w:rPr>
                <w:color w:val="auto"/>
                <w:szCs w:val="24"/>
              </w:rPr>
              <w:t xml:space="preserve"> receive the correct additional support </w:t>
            </w:r>
            <w:r w:rsidR="00821A91" w:rsidRPr="00E27862">
              <w:rPr>
                <w:color w:val="auto"/>
                <w:szCs w:val="24"/>
              </w:rPr>
              <w:t>through inter</w:t>
            </w:r>
            <w:r w:rsidR="003A6D41">
              <w:rPr>
                <w:color w:val="auto"/>
                <w:szCs w:val="24"/>
              </w:rPr>
              <w:t xml:space="preserve">ventions or teacher instruction. </w:t>
            </w:r>
          </w:p>
          <w:p w14:paraId="2A935000" w14:textId="77777777" w:rsidR="00147BD1" w:rsidRDefault="003A6D41" w:rsidP="00147BD1">
            <w:pPr>
              <w:pStyle w:val="TableRowCentered"/>
              <w:ind w:left="0"/>
              <w:jc w:val="left"/>
              <w:rPr>
                <w:color w:val="auto"/>
                <w:szCs w:val="24"/>
              </w:rPr>
            </w:pPr>
            <w:hyperlink r:id="rId13" w:history="1">
              <w:r w:rsidRPr="003A6D41">
                <w:rPr>
                  <w:rStyle w:val="Hyperlink"/>
                  <w:szCs w:val="24"/>
                </w:rPr>
                <w:t>EEF Assessment and Monitoring Progress</w:t>
              </w:r>
            </w:hyperlink>
          </w:p>
          <w:p w14:paraId="0706A895" w14:textId="77777777" w:rsidR="00147BD1" w:rsidRPr="00147BD1" w:rsidRDefault="00147BD1" w:rsidP="00147BD1">
            <w:pPr>
              <w:numPr>
                <w:ilvl w:val="0"/>
                <w:numId w:val="1"/>
              </w:numPr>
              <w:suppressAutoHyphens w:val="0"/>
              <w:autoSpaceDE w:val="0"/>
              <w:adjustRightInd w:val="0"/>
              <w:spacing w:after="0" w:line="240" w:lineRule="auto"/>
              <w:rPr>
                <w:rFonts w:ascii="Helvetica 45 Light" w:hAnsi="Helvetica 45 Light" w:cs="Helvetica 45 Light"/>
                <w:color w:val="000000"/>
              </w:rPr>
            </w:pPr>
            <w:r w:rsidRPr="00147BD1">
              <w:rPr>
                <w:rFonts w:cs="Arial"/>
                <w:color w:val="000000"/>
              </w:rPr>
              <w:t>Evidence shows that when used effectively, diagnostic assessments (Quizzes, exit tickets, hinge questions, mind-maps) can indicate areas for development with individual pupils or across classes and year groups. Some methods can also help teachers isolate the specific misconceptions pupils might hold.</w:t>
            </w:r>
            <w:r w:rsidRPr="00147BD1">
              <w:rPr>
                <w:rFonts w:ascii="Helvetica 45 Light" w:hAnsi="Helvetica 45 Light" w:cs="Helvetica 45 Light"/>
                <w:color w:val="000000"/>
                <w:sz w:val="18"/>
                <w:szCs w:val="18"/>
              </w:rPr>
              <w:t xml:space="preserve"> </w:t>
            </w:r>
          </w:p>
          <w:p w14:paraId="2A7D551B" w14:textId="10F5AFC6" w:rsidR="001E4EE6" w:rsidRPr="00147BD1" w:rsidRDefault="00147BD1" w:rsidP="00147BD1">
            <w:pPr>
              <w:numPr>
                <w:ilvl w:val="0"/>
                <w:numId w:val="1"/>
              </w:numPr>
              <w:suppressAutoHyphens w:val="0"/>
              <w:autoSpaceDE w:val="0"/>
              <w:adjustRightInd w:val="0"/>
              <w:spacing w:after="0" w:line="240" w:lineRule="auto"/>
              <w:rPr>
                <w:rFonts w:ascii="Helvetica 45 Light" w:hAnsi="Helvetica 45 Light" w:cs="Helvetica 45 Light"/>
                <w:color w:val="000000"/>
              </w:rPr>
            </w:pPr>
            <w:hyperlink r:id="rId14" w:history="1">
              <w:r w:rsidRPr="00147BD1">
                <w:rPr>
                  <w:rStyle w:val="Hyperlink"/>
                </w:rPr>
                <w:t>EEF Diagnostic Assessment</w:t>
              </w:r>
            </w:hyperlink>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4F1B1394" w:rsidR="00E66558" w:rsidRPr="00E27862" w:rsidRDefault="00147BD1" w:rsidP="00440409">
            <w:pPr>
              <w:pStyle w:val="TableRow"/>
              <w:spacing w:after="0"/>
              <w:textAlignment w:val="baseline"/>
              <w:rPr>
                <w:color w:val="auto"/>
              </w:rPr>
            </w:pPr>
            <w:r>
              <w:rPr>
                <w:color w:val="auto"/>
              </w:rPr>
              <w:t>1,2,3,4,5</w:t>
            </w:r>
          </w:p>
        </w:tc>
      </w:tr>
      <w:tr w:rsidR="00883D2A" w14:paraId="6994BEDF" w14:textId="77777777" w:rsidTr="0050141A">
        <w:trPr>
          <w:trHeight w:val="26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6C88C8" w14:textId="6DB3CDE2" w:rsidR="00EC56FC" w:rsidRDefault="00883D2A" w:rsidP="00A6450E">
            <w:pPr>
              <w:pStyle w:val="TableRow"/>
              <w:spacing w:after="240"/>
              <w:ind w:left="29"/>
              <w:rPr>
                <w:iCs/>
                <w:color w:val="auto"/>
                <w:lang w:val="en-US"/>
              </w:rPr>
            </w:pPr>
            <w:r>
              <w:rPr>
                <w:iCs/>
                <w:color w:val="auto"/>
                <w:lang w:val="en-US"/>
              </w:rPr>
              <w:t xml:space="preserve">Provide ongoing quality in-house CPD opportunities </w:t>
            </w:r>
            <w:r w:rsidR="00147BD1">
              <w:rPr>
                <w:iCs/>
                <w:color w:val="auto"/>
                <w:lang w:val="en-US"/>
              </w:rPr>
              <w:t>to ensure high i</w:t>
            </w:r>
            <w:r w:rsidR="00EC56FC">
              <w:rPr>
                <w:iCs/>
                <w:color w:val="auto"/>
                <w:lang w:val="en-US"/>
              </w:rPr>
              <w:t>mpact initial teaching</w:t>
            </w:r>
          </w:p>
          <w:p w14:paraId="10F28D1F" w14:textId="0C5B051F" w:rsidR="00EC56FC" w:rsidRDefault="00EC56FC" w:rsidP="00EC56FC">
            <w:pPr>
              <w:pStyle w:val="TableRow"/>
              <w:numPr>
                <w:ilvl w:val="0"/>
                <w:numId w:val="46"/>
              </w:numPr>
              <w:spacing w:after="240"/>
              <w:rPr>
                <w:iCs/>
                <w:color w:val="auto"/>
                <w:lang w:val="en-US"/>
              </w:rPr>
            </w:pPr>
            <w:r>
              <w:rPr>
                <w:iCs/>
                <w:color w:val="auto"/>
                <w:lang w:val="en-US"/>
              </w:rPr>
              <w:t>Questioning</w:t>
            </w:r>
          </w:p>
          <w:p w14:paraId="1AE0331B" w14:textId="0AE9A8EE" w:rsidR="00EC56FC" w:rsidRDefault="00EC56FC" w:rsidP="00EC56FC">
            <w:pPr>
              <w:pStyle w:val="TableRow"/>
              <w:numPr>
                <w:ilvl w:val="0"/>
                <w:numId w:val="46"/>
              </w:numPr>
              <w:spacing w:after="240"/>
              <w:rPr>
                <w:iCs/>
                <w:color w:val="auto"/>
                <w:lang w:val="en-US"/>
              </w:rPr>
            </w:pPr>
            <w:r>
              <w:rPr>
                <w:iCs/>
                <w:color w:val="auto"/>
                <w:lang w:val="en-US"/>
              </w:rPr>
              <w:t xml:space="preserve">Feedback </w:t>
            </w:r>
          </w:p>
          <w:p w14:paraId="410259F3" w14:textId="4070FB1F" w:rsidR="00EC56FC" w:rsidRDefault="00EC56FC" w:rsidP="00EC56FC">
            <w:pPr>
              <w:pStyle w:val="TableRow"/>
              <w:numPr>
                <w:ilvl w:val="0"/>
                <w:numId w:val="46"/>
              </w:numPr>
              <w:spacing w:after="240"/>
              <w:rPr>
                <w:iCs/>
                <w:color w:val="auto"/>
                <w:lang w:val="en-US"/>
              </w:rPr>
            </w:pPr>
            <w:r>
              <w:rPr>
                <w:iCs/>
                <w:color w:val="auto"/>
                <w:lang w:val="en-US"/>
              </w:rPr>
              <w:t>Dialogic talk</w:t>
            </w:r>
          </w:p>
          <w:p w14:paraId="495E9945" w14:textId="673FD93B" w:rsidR="00147BD1" w:rsidRDefault="00147BD1" w:rsidP="00EC56FC">
            <w:pPr>
              <w:pStyle w:val="TableRow"/>
              <w:numPr>
                <w:ilvl w:val="0"/>
                <w:numId w:val="46"/>
              </w:numPr>
              <w:spacing w:after="240"/>
              <w:rPr>
                <w:iCs/>
                <w:color w:val="auto"/>
                <w:lang w:val="en-US"/>
              </w:rPr>
            </w:pPr>
            <w:r>
              <w:rPr>
                <w:iCs/>
                <w:color w:val="auto"/>
                <w:lang w:val="en-US"/>
              </w:rPr>
              <w:t>Metacognitive strategies</w:t>
            </w:r>
          </w:p>
          <w:p w14:paraId="392CE5CB" w14:textId="4880B576" w:rsidR="00883D2A" w:rsidRDefault="00883D2A" w:rsidP="00A6450E">
            <w:pPr>
              <w:pStyle w:val="TableRow"/>
              <w:spacing w:after="240"/>
              <w:ind w:left="29"/>
              <w:rPr>
                <w:iCs/>
                <w:color w:val="auto"/>
                <w:lang w:val="en-US"/>
              </w:rPr>
            </w:pPr>
          </w:p>
          <w:p w14:paraId="00515372" w14:textId="0F63EA76" w:rsidR="00EC56FC" w:rsidRPr="00E27862" w:rsidRDefault="00EC56FC" w:rsidP="00EC56FC">
            <w:pPr>
              <w:pStyle w:val="TableRow"/>
              <w:spacing w:after="240"/>
              <w:ind w:left="0"/>
              <w:rPr>
                <w:iCs/>
                <w:color w:val="auto"/>
                <w:lang w:val="en-U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571C42" w14:textId="1BD8C225" w:rsidR="00EC56FC" w:rsidRDefault="00A10993" w:rsidP="00EC56FC">
            <w:pPr>
              <w:pStyle w:val="TableRowCentered"/>
              <w:ind w:left="0"/>
              <w:jc w:val="left"/>
              <w:rPr>
                <w:color w:val="auto"/>
                <w:szCs w:val="24"/>
              </w:rPr>
            </w:pPr>
            <w:r>
              <w:t xml:space="preserve">Feedback </w:t>
            </w:r>
            <w:r w:rsidR="00EC56FC" w:rsidRPr="0050141A">
              <w:rPr>
                <w:rFonts w:cs="Arial"/>
                <w:iCs/>
                <w:color w:val="auto"/>
                <w:lang w:eastAsia="en-US"/>
              </w:rPr>
              <w:t>demonstrates this has significant benefits for pupils, particularly disadvantaged pupils.</w:t>
            </w:r>
            <w:r w:rsidR="00147BD1">
              <w:rPr>
                <w:rFonts w:cs="Arial"/>
                <w:iCs/>
                <w:color w:val="auto"/>
                <w:lang w:eastAsia="en-US"/>
              </w:rPr>
              <w:t xml:space="preserve"> The development of high quality questions and questioning strategies also improves engagement. </w:t>
            </w:r>
          </w:p>
          <w:p w14:paraId="36987AEF" w14:textId="10FE4994" w:rsidR="00147BD1" w:rsidRDefault="00147BD1" w:rsidP="00147BD1">
            <w:pPr>
              <w:pStyle w:val="TableRowCentered"/>
              <w:ind w:left="0"/>
              <w:jc w:val="left"/>
            </w:pPr>
            <w:hyperlink r:id="rId15" w:history="1">
              <w:r>
                <w:rPr>
                  <w:rStyle w:val="Hyperlink"/>
                </w:rPr>
                <w:t>EEF Feedback and Questions</w:t>
              </w:r>
            </w:hyperlink>
          </w:p>
          <w:p w14:paraId="2159E22D" w14:textId="03A02B96" w:rsidR="00EC56FC" w:rsidRPr="00E27862" w:rsidRDefault="00EC56FC" w:rsidP="0050141A">
            <w:pPr>
              <w:suppressAutoHyphens w:val="0"/>
              <w:autoSpaceDN/>
              <w:spacing w:before="60" w:after="60" w:line="240" w:lineRule="auto"/>
              <w:ind w:right="57"/>
              <w:rPr>
                <w:rFonts w:cs="Arial"/>
                <w:color w:val="auto"/>
              </w:rPr>
            </w:pPr>
            <w:r w:rsidRPr="00E27862">
              <w:rPr>
                <w:rFonts w:cs="Arial"/>
                <w:color w:val="auto"/>
              </w:rPr>
              <w:t>There is a strong evidence base that suggests oral language interventions, including dialogic activities such as high-quality classroom discussion, are inexpensive to impleme</w:t>
            </w:r>
            <w:r w:rsidR="00147BD1">
              <w:rPr>
                <w:rFonts w:cs="Arial"/>
                <w:color w:val="auto"/>
              </w:rPr>
              <w:t>nt with high impact.</w:t>
            </w:r>
          </w:p>
          <w:p w14:paraId="183ED3AD" w14:textId="4AB174D5" w:rsidR="00147BD1" w:rsidRDefault="00147BD1" w:rsidP="00A10993">
            <w:pPr>
              <w:pStyle w:val="TableRowCentered"/>
              <w:ind w:left="0"/>
              <w:jc w:val="left"/>
              <w:rPr>
                <w:rStyle w:val="Hyperlink"/>
                <w:szCs w:val="24"/>
              </w:rPr>
            </w:pPr>
            <w:hyperlink r:id="rId16" w:history="1">
              <w:r>
                <w:rPr>
                  <w:rStyle w:val="Hyperlink"/>
                  <w:szCs w:val="24"/>
                </w:rPr>
                <w:t xml:space="preserve">EEF Dialogic </w:t>
              </w:r>
              <w:r w:rsidRPr="00EA6C9B">
                <w:rPr>
                  <w:rStyle w:val="Hyperlink"/>
                  <w:szCs w:val="24"/>
                </w:rPr>
                <w:t>Teaching</w:t>
              </w:r>
            </w:hyperlink>
          </w:p>
          <w:p w14:paraId="6580F5A3" w14:textId="695E96A1" w:rsidR="00147BD1" w:rsidRPr="00147BD1" w:rsidRDefault="00147BD1" w:rsidP="00A10993">
            <w:pPr>
              <w:pStyle w:val="TableRowCentered"/>
              <w:ind w:left="0"/>
              <w:jc w:val="left"/>
              <w:rPr>
                <w:rStyle w:val="Hyperlink"/>
                <w:color w:val="auto"/>
                <w:szCs w:val="24"/>
              </w:rPr>
            </w:pPr>
            <w:r w:rsidRPr="00147BD1">
              <w:rPr>
                <w:rFonts w:cs="Arial"/>
                <w:color w:val="auto"/>
                <w:lang w:val="en"/>
              </w:rPr>
              <w:t>Metacognition and self-regulation approaches to teaching support pupils to think about their own learning more ex</w:t>
            </w:r>
            <w:r w:rsidR="00E855F1">
              <w:rPr>
                <w:rFonts w:cs="Arial"/>
                <w:color w:val="auto"/>
                <w:lang w:val="en"/>
              </w:rPr>
              <w:t>plicitly, often by teaching the pupils</w:t>
            </w:r>
            <w:r w:rsidRPr="00147BD1">
              <w:rPr>
                <w:rFonts w:cs="Arial"/>
                <w:color w:val="auto"/>
                <w:lang w:val="en"/>
              </w:rPr>
              <w:t xml:space="preserve"> specific strategies for planning, monitoring, and evaluating their learning.</w:t>
            </w:r>
          </w:p>
          <w:p w14:paraId="63384D9F" w14:textId="3A563512" w:rsidR="00A10993" w:rsidRDefault="00A10993" w:rsidP="00A10993">
            <w:pPr>
              <w:pStyle w:val="TableRowCentered"/>
              <w:ind w:left="0"/>
              <w:jc w:val="left"/>
              <w:rPr>
                <w:color w:val="auto"/>
                <w:szCs w:val="24"/>
              </w:rPr>
            </w:pPr>
            <w:hyperlink r:id="rId17" w:history="1">
              <w:r w:rsidRPr="00A10993">
                <w:rPr>
                  <w:rStyle w:val="Hyperlink"/>
                  <w:szCs w:val="24"/>
                </w:rPr>
                <w:t>EEF Metacognition and Self-Regulated Learning</w:t>
              </w:r>
            </w:hyperlink>
          </w:p>
          <w:p w14:paraId="4AFADA3C" w14:textId="11589EAA" w:rsidR="00EA6C9B" w:rsidRPr="00E27862" w:rsidRDefault="00EA6C9B" w:rsidP="00A10993">
            <w:pPr>
              <w:pStyle w:val="TableRowCentered"/>
              <w:ind w:left="0"/>
              <w:jc w:val="left"/>
              <w:rPr>
                <w:color w:val="auto"/>
                <w:szCs w:val="24"/>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314E1" w14:textId="35666EAF" w:rsidR="00883D2A" w:rsidRPr="00E27862" w:rsidRDefault="00147BD1" w:rsidP="00440409">
            <w:pPr>
              <w:pStyle w:val="TableRow"/>
              <w:spacing w:after="0"/>
              <w:textAlignment w:val="baseline"/>
              <w:rPr>
                <w:color w:val="auto"/>
              </w:rPr>
            </w:pPr>
            <w:r>
              <w:rPr>
                <w:color w:val="auto"/>
              </w:rPr>
              <w:t>1,2,3,4,5</w:t>
            </w:r>
          </w:p>
        </w:tc>
      </w:tr>
      <w:tr w:rsidR="00A34557" w14:paraId="788EB331" w14:textId="77777777" w:rsidTr="00F649DA">
        <w:trPr>
          <w:trHeight w:val="1408"/>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26A022" w14:textId="3D84FA67" w:rsidR="00A34557" w:rsidRDefault="00A34557" w:rsidP="00F649DA">
            <w:pPr>
              <w:pStyle w:val="TableRow"/>
              <w:spacing w:before="0" w:after="0"/>
              <w:ind w:left="29"/>
              <w:rPr>
                <w:iCs/>
                <w:color w:val="auto"/>
                <w:lang w:val="en-US"/>
              </w:rPr>
            </w:pPr>
            <w:r>
              <w:rPr>
                <w:iCs/>
                <w:color w:val="auto"/>
                <w:lang w:val="en-US"/>
              </w:rPr>
              <w:lastRenderedPageBreak/>
              <w:t xml:space="preserve">Provide ongoing high quality in-house CPD opportunities to support staff identification </w:t>
            </w:r>
            <w:r w:rsidR="0050141A">
              <w:rPr>
                <w:iCs/>
                <w:color w:val="auto"/>
                <w:lang w:val="en-US"/>
              </w:rPr>
              <w:t>of barri</w:t>
            </w:r>
            <w:r>
              <w:rPr>
                <w:iCs/>
                <w:color w:val="auto"/>
                <w:lang w:val="en-US"/>
              </w:rPr>
              <w:t xml:space="preserve">ers and provision (OAIP)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21202" w14:textId="77777777" w:rsidR="00147BD1" w:rsidRDefault="00147BD1" w:rsidP="00F649DA">
            <w:pPr>
              <w:pStyle w:val="TableRow"/>
              <w:spacing w:before="0" w:after="0"/>
              <w:ind w:left="0"/>
              <w:rPr>
                <w:iCs/>
                <w:color w:val="auto"/>
                <w:szCs w:val="28"/>
                <w:lang w:val="en-US"/>
              </w:rPr>
            </w:pPr>
            <w:r>
              <w:rPr>
                <w:iCs/>
                <w:color w:val="auto"/>
                <w:szCs w:val="28"/>
                <w:lang w:val="en-US"/>
              </w:rPr>
              <w:t xml:space="preserve">An inclusive and holistic approach which enables pupils to be a part of the ethos of the school enables them to access the curriculum and achieve the best outcomes.  </w:t>
            </w:r>
          </w:p>
          <w:p w14:paraId="41D9E562" w14:textId="034AC411" w:rsidR="000B1F32" w:rsidRPr="000B1F32" w:rsidRDefault="00A10993" w:rsidP="00F649DA">
            <w:pPr>
              <w:pStyle w:val="TableRow"/>
              <w:spacing w:before="0" w:after="0"/>
              <w:ind w:left="0"/>
              <w:rPr>
                <w:iCs/>
                <w:color w:val="auto"/>
                <w:szCs w:val="28"/>
                <w:lang w:val="en-US"/>
              </w:rPr>
            </w:pPr>
            <w:hyperlink r:id="rId18" w:history="1">
              <w:r w:rsidRPr="00A10993">
                <w:rPr>
                  <w:rStyle w:val="Hyperlink"/>
                  <w:iCs/>
                  <w:lang w:val="en-US"/>
                </w:rPr>
                <w:t>Ordinarily Available Inclusive Practice WSCC</w:t>
              </w:r>
            </w:hyperlink>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1C0CF" w14:textId="3AAB15E1" w:rsidR="00A34557" w:rsidRPr="00E27862" w:rsidRDefault="00F649DA" w:rsidP="00F649DA">
            <w:pPr>
              <w:pStyle w:val="TableRow"/>
              <w:spacing w:before="0" w:after="0"/>
              <w:textAlignment w:val="baseline"/>
              <w:rPr>
                <w:color w:val="auto"/>
              </w:rPr>
            </w:pPr>
            <w:r>
              <w:rPr>
                <w:color w:val="auto"/>
              </w:rPr>
              <w:t>3,4,5,6</w:t>
            </w:r>
          </w:p>
        </w:tc>
      </w:tr>
      <w:tr w:rsidR="00153587" w14:paraId="367317DD" w14:textId="77777777" w:rsidTr="0050141A">
        <w:trPr>
          <w:trHeight w:val="4101"/>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F25D0" w14:textId="0415D05D" w:rsidR="00153587" w:rsidRDefault="00153587" w:rsidP="00F649DA">
            <w:pPr>
              <w:suppressAutoHyphens w:val="0"/>
              <w:autoSpaceDN/>
              <w:spacing w:after="0" w:line="240" w:lineRule="auto"/>
              <w:ind w:left="29" w:right="57"/>
              <w:rPr>
                <w:rFonts w:cs="Arial"/>
                <w:iCs/>
                <w:color w:val="auto"/>
              </w:rPr>
            </w:pPr>
            <w:r>
              <w:rPr>
                <w:rFonts w:cs="Arial"/>
                <w:iCs/>
                <w:color w:val="auto"/>
              </w:rPr>
              <w:t>Continue ongoing monitorin</w:t>
            </w:r>
            <w:r w:rsidR="00440409">
              <w:rPr>
                <w:rFonts w:cs="Arial"/>
                <w:iCs/>
                <w:color w:val="auto"/>
              </w:rPr>
              <w:t>g of robust systematic synthetic</w:t>
            </w:r>
            <w:r>
              <w:rPr>
                <w:rFonts w:cs="Arial"/>
                <w:iCs/>
                <w:color w:val="auto"/>
              </w:rPr>
              <w:t xml:space="preserve"> ph</w:t>
            </w:r>
            <w:r w:rsidR="00440409">
              <w:rPr>
                <w:rFonts w:cs="Arial"/>
                <w:iCs/>
                <w:color w:val="auto"/>
              </w:rPr>
              <w:t>o</w:t>
            </w:r>
            <w:r>
              <w:rPr>
                <w:rFonts w:cs="Arial"/>
                <w:iCs/>
                <w:color w:val="auto"/>
              </w:rPr>
              <w:t xml:space="preserve">nics – RW Inc.  </w:t>
            </w:r>
          </w:p>
          <w:p w14:paraId="53E726BF" w14:textId="77777777" w:rsidR="00F649DA" w:rsidRDefault="00F649DA" w:rsidP="00F649DA">
            <w:pPr>
              <w:suppressAutoHyphens w:val="0"/>
              <w:autoSpaceDN/>
              <w:spacing w:after="0" w:line="240" w:lineRule="auto"/>
              <w:ind w:left="29" w:right="57"/>
              <w:rPr>
                <w:rFonts w:cs="Arial"/>
                <w:iCs/>
                <w:color w:val="auto"/>
              </w:rPr>
            </w:pPr>
          </w:p>
          <w:p w14:paraId="56CA6DEF" w14:textId="77777777" w:rsidR="00153587" w:rsidRDefault="00153587" w:rsidP="00F649DA">
            <w:pPr>
              <w:suppressAutoHyphens w:val="0"/>
              <w:autoSpaceDN/>
              <w:spacing w:after="0" w:line="240" w:lineRule="auto"/>
              <w:ind w:right="57"/>
              <w:rPr>
                <w:rFonts w:cs="Arial"/>
                <w:iCs/>
                <w:color w:val="auto"/>
              </w:rPr>
            </w:pPr>
            <w:r>
              <w:rPr>
                <w:rFonts w:cs="Arial"/>
                <w:iCs/>
                <w:color w:val="auto"/>
              </w:rPr>
              <w:t xml:space="preserve">Ensure CPD for all staff is provided where needed.  </w:t>
            </w:r>
          </w:p>
          <w:p w14:paraId="0364542B" w14:textId="1FDF6606" w:rsidR="0050141A" w:rsidRDefault="00153587" w:rsidP="00F649DA">
            <w:pPr>
              <w:pStyle w:val="TableRow"/>
              <w:spacing w:before="0" w:after="0"/>
              <w:ind w:left="29"/>
              <w:rPr>
                <w:rFonts w:cs="Arial"/>
                <w:iCs/>
                <w:color w:val="auto"/>
              </w:rPr>
            </w:pPr>
            <w:r>
              <w:rPr>
                <w:rFonts w:cs="Arial"/>
                <w:iCs/>
                <w:color w:val="auto"/>
              </w:rPr>
              <w:t xml:space="preserve">Participate in further development day with RW Inc trainer to ensure delivery </w:t>
            </w:r>
            <w:r w:rsidR="00EC56FC">
              <w:rPr>
                <w:rFonts w:cs="Arial"/>
                <w:iCs/>
                <w:color w:val="auto"/>
              </w:rPr>
              <w:t>i</w:t>
            </w:r>
            <w:r>
              <w:rPr>
                <w:rFonts w:cs="Arial"/>
                <w:iCs/>
                <w:color w:val="auto"/>
              </w:rPr>
              <w:t xml:space="preserve">s the best it can be. </w:t>
            </w:r>
          </w:p>
          <w:p w14:paraId="5859C879" w14:textId="77777777" w:rsidR="00F649DA" w:rsidRDefault="00F649DA" w:rsidP="00F649DA">
            <w:pPr>
              <w:pStyle w:val="TableRow"/>
              <w:spacing w:before="0" w:after="0"/>
              <w:ind w:left="29"/>
              <w:rPr>
                <w:rFonts w:cs="Arial"/>
                <w:iCs/>
                <w:color w:val="auto"/>
              </w:rPr>
            </w:pPr>
          </w:p>
          <w:p w14:paraId="2626A694" w14:textId="74B72C19" w:rsidR="00EC56FC" w:rsidRPr="0050141A" w:rsidRDefault="00EC56FC" w:rsidP="00F649DA">
            <w:pPr>
              <w:pStyle w:val="TableRow"/>
              <w:spacing w:before="0" w:after="0"/>
              <w:ind w:left="29"/>
              <w:rPr>
                <w:rFonts w:cs="Arial"/>
                <w:iCs/>
                <w:color w:val="auto"/>
              </w:rPr>
            </w:pPr>
            <w:r>
              <w:rPr>
                <w:rFonts w:cs="Arial"/>
                <w:iCs/>
                <w:color w:val="auto"/>
              </w:rPr>
              <w:t xml:space="preserve">Monitor whole class guided reading reading provision across KS1 and KS2 and provide timely feedback to improve </w:t>
            </w:r>
            <w:r w:rsidR="00FB3D52">
              <w:rPr>
                <w:rFonts w:cs="Arial"/>
                <w:iCs/>
                <w:color w:val="auto"/>
              </w:rPr>
              <w:t>teaching</w:t>
            </w:r>
            <w:r>
              <w:rPr>
                <w:rFonts w:cs="Arial"/>
                <w:iCs/>
                <w:color w:val="auto"/>
              </w:rPr>
              <w:t xml:space="preserve"> and </w:t>
            </w:r>
            <w:r w:rsidR="00FB3D52">
              <w:rPr>
                <w:rFonts w:cs="Arial"/>
                <w:iCs/>
                <w:color w:val="auto"/>
              </w:rPr>
              <w:t>learning</w:t>
            </w:r>
            <w:r w:rsidR="00C6387E">
              <w:rPr>
                <w:rFonts w:cs="Arial"/>
                <w:iCs/>
                <w:color w:val="auto"/>
              </w:rPr>
              <w:t xml:space="preserve">.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F9D11A" w14:textId="77777777" w:rsidR="00153587" w:rsidRPr="00E27862" w:rsidRDefault="00153587" w:rsidP="00F649DA">
            <w:pPr>
              <w:pStyle w:val="TableRowCentered"/>
              <w:spacing w:before="0" w:after="0"/>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14C2215F" w14:textId="0227F6C6" w:rsidR="00440409" w:rsidRDefault="008E5584" w:rsidP="00F649DA">
            <w:pPr>
              <w:pStyle w:val="TableRowCentered"/>
              <w:spacing w:before="0" w:after="0"/>
              <w:ind w:left="0"/>
              <w:jc w:val="left"/>
              <w:rPr>
                <w:color w:val="0070C0"/>
                <w:szCs w:val="24"/>
                <w:u w:val="single"/>
              </w:rPr>
            </w:pPr>
            <w:hyperlink r:id="rId19" w:history="1">
              <w:r w:rsidRPr="008E5584">
                <w:rPr>
                  <w:rStyle w:val="Hyperlink"/>
                  <w:szCs w:val="24"/>
                </w:rPr>
                <w:t>Phonics Resea</w:t>
              </w:r>
              <w:r>
                <w:rPr>
                  <w:rStyle w:val="Hyperlink"/>
                  <w:szCs w:val="24"/>
                </w:rPr>
                <w:t>r</w:t>
              </w:r>
              <w:r w:rsidRPr="008E5584">
                <w:rPr>
                  <w:rStyle w:val="Hyperlink"/>
                  <w:szCs w:val="24"/>
                </w:rPr>
                <w:t>ch EEF</w:t>
              </w:r>
            </w:hyperlink>
          </w:p>
          <w:p w14:paraId="151AE0B3" w14:textId="6C6CF474" w:rsidR="00EC56FC" w:rsidRDefault="008E5584" w:rsidP="00F649DA">
            <w:pPr>
              <w:pStyle w:val="TableRowCentered"/>
              <w:spacing w:before="0" w:after="0"/>
              <w:ind w:left="0"/>
              <w:jc w:val="left"/>
              <w:rPr>
                <w:color w:val="0070C0"/>
                <w:szCs w:val="24"/>
                <w:u w:val="single"/>
              </w:rPr>
            </w:pPr>
            <w:hyperlink r:id="rId20" w:history="1">
              <w:r w:rsidRPr="008E5584">
                <w:rPr>
                  <w:rStyle w:val="Hyperlink"/>
                  <w:szCs w:val="24"/>
                </w:rPr>
                <w:t>Ruth Miskin R</w:t>
              </w:r>
              <w:r w:rsidR="00C6387E">
                <w:rPr>
                  <w:rStyle w:val="Hyperlink"/>
                  <w:szCs w:val="24"/>
                </w:rPr>
                <w:t xml:space="preserve">ead </w:t>
              </w:r>
              <w:r w:rsidRPr="008E5584">
                <w:rPr>
                  <w:rStyle w:val="Hyperlink"/>
                  <w:szCs w:val="24"/>
                </w:rPr>
                <w:t>W</w:t>
              </w:r>
              <w:r w:rsidR="00C6387E">
                <w:rPr>
                  <w:rStyle w:val="Hyperlink"/>
                  <w:szCs w:val="24"/>
                </w:rPr>
                <w:t>rite</w:t>
              </w:r>
              <w:r w:rsidRPr="008E5584">
                <w:rPr>
                  <w:rStyle w:val="Hyperlink"/>
                  <w:szCs w:val="24"/>
                </w:rPr>
                <w:t xml:space="preserve"> Inc </w:t>
              </w:r>
              <w:r w:rsidR="00C6387E">
                <w:rPr>
                  <w:rStyle w:val="Hyperlink"/>
                  <w:szCs w:val="24"/>
                </w:rPr>
                <w:t xml:space="preserve">Impact </w:t>
              </w:r>
              <w:r w:rsidRPr="008E5584">
                <w:rPr>
                  <w:rStyle w:val="Hyperlink"/>
                  <w:szCs w:val="24"/>
                </w:rPr>
                <w:t>Research</w:t>
              </w:r>
            </w:hyperlink>
          </w:p>
          <w:p w14:paraId="71E136BB" w14:textId="77777777" w:rsidR="00F649DA" w:rsidRDefault="00F649DA" w:rsidP="00F649DA">
            <w:pPr>
              <w:pStyle w:val="NormalWeb"/>
              <w:spacing w:before="0" w:beforeAutospacing="0" w:after="0" w:afterAutospacing="0"/>
              <w:rPr>
                <w:rFonts w:ascii="Arial" w:hAnsi="Arial" w:cs="Arial"/>
                <w:lang w:val="en"/>
              </w:rPr>
            </w:pPr>
            <w:r w:rsidRPr="00F649DA">
              <w:rPr>
                <w:rFonts w:ascii="Arial" w:hAnsi="Arial" w:cs="Arial"/>
                <w:lang w:val="en"/>
              </w:rPr>
              <w:t>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p>
          <w:p w14:paraId="09DD2A2A" w14:textId="5A330204" w:rsidR="008E5584" w:rsidRPr="00F649DA" w:rsidRDefault="008E5584" w:rsidP="00F649DA">
            <w:pPr>
              <w:pStyle w:val="NormalWeb"/>
              <w:spacing w:before="0" w:beforeAutospacing="0" w:after="0" w:afterAutospacing="0"/>
              <w:rPr>
                <w:rFonts w:ascii="Arial" w:hAnsi="Arial" w:cs="Arial"/>
                <w:lang w:val="en"/>
              </w:rPr>
            </w:pPr>
            <w:hyperlink r:id="rId21" w:history="1">
              <w:r w:rsidRPr="008E5584">
                <w:rPr>
                  <w:rStyle w:val="Hyperlink"/>
                </w:rPr>
                <w:t>DFE Reading Framework</w:t>
              </w:r>
            </w:hyperlink>
          </w:p>
          <w:p w14:paraId="33D145A5" w14:textId="58523BC0" w:rsidR="008E5584" w:rsidRPr="00E27862" w:rsidRDefault="001E4EE6" w:rsidP="00F649DA">
            <w:pPr>
              <w:pStyle w:val="TableRowCentered"/>
              <w:spacing w:before="0" w:after="0"/>
              <w:ind w:left="0"/>
              <w:jc w:val="left"/>
              <w:rPr>
                <w:color w:val="auto"/>
                <w:szCs w:val="24"/>
              </w:rPr>
            </w:pPr>
            <w:hyperlink r:id="rId22" w:history="1">
              <w:r w:rsidRPr="001E4EE6">
                <w:rPr>
                  <w:rStyle w:val="Hyperlink"/>
                  <w:szCs w:val="24"/>
                </w:rPr>
                <w:t>EEF Reading Comprehension Strategies</w:t>
              </w:r>
            </w:hyperlink>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69A886" w14:textId="0BBF9556" w:rsidR="00153587" w:rsidRDefault="00F649DA" w:rsidP="00F649DA">
            <w:pPr>
              <w:pStyle w:val="TableRow"/>
              <w:spacing w:before="0" w:after="0"/>
              <w:textAlignment w:val="baseline"/>
              <w:rPr>
                <w:rFonts w:cs="Arial"/>
              </w:rPr>
            </w:pPr>
            <w:r>
              <w:rPr>
                <w:rFonts w:cs="Arial"/>
              </w:rPr>
              <w:t>2,3</w:t>
            </w:r>
          </w:p>
        </w:tc>
      </w:tr>
      <w:tr w:rsidR="0050141A" w14:paraId="5CAD2647" w14:textId="77777777" w:rsidTr="0050141A">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E6E5B9" w14:textId="08096A8B" w:rsidR="0050141A" w:rsidRDefault="00FB3D52" w:rsidP="00F649DA">
            <w:pPr>
              <w:suppressAutoHyphens w:val="0"/>
              <w:autoSpaceDN/>
              <w:spacing w:before="60" w:after="120" w:line="240" w:lineRule="auto"/>
              <w:ind w:left="29" w:right="57"/>
              <w:rPr>
                <w:rFonts w:cs="Arial"/>
                <w:iCs/>
                <w:color w:val="auto"/>
              </w:rPr>
            </w:pPr>
            <w:r>
              <w:rPr>
                <w:rFonts w:cs="Arial"/>
                <w:iCs/>
                <w:color w:val="auto"/>
                <w:lang w:val="en-US"/>
              </w:rPr>
              <w:t>Develop</w:t>
            </w:r>
            <w:r w:rsidR="0050141A">
              <w:rPr>
                <w:rFonts w:cs="Arial"/>
                <w:iCs/>
                <w:color w:val="auto"/>
                <w:lang w:val="en-US"/>
              </w:rPr>
              <w:t xml:space="preserve"> the use of Vocabulary Ninja across the whole school to support the breadth of </w:t>
            </w:r>
            <w:r>
              <w:rPr>
                <w:rFonts w:cs="Arial"/>
                <w:iCs/>
                <w:color w:val="auto"/>
                <w:lang w:val="en-US"/>
              </w:rPr>
              <w:t xml:space="preserve">vocabulary </w:t>
            </w:r>
            <w:r w:rsidR="00F649DA">
              <w:rPr>
                <w:rFonts w:cs="Arial"/>
                <w:iCs/>
                <w:color w:val="auto"/>
                <w:lang w:val="en-US"/>
              </w:rPr>
              <w:t xml:space="preserve">used in spoken language and written tasks.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B1E1" w14:textId="77777777" w:rsidR="00F649DA" w:rsidRDefault="00F649DA" w:rsidP="00F649DA">
            <w:pPr>
              <w:spacing w:after="0" w:line="240" w:lineRule="auto"/>
            </w:pPr>
            <w:r w:rsidRPr="00F649DA">
              <w:t>Evidence shows that having a good vocabulary underpins progress, impacts on attainment, affects self-esteem and behaviour and plays a huge role in a child’s future life chances. Without enough language – a word gap – a child is seriously limited in their enjoyment of school and success beyond.</w:t>
            </w:r>
          </w:p>
          <w:p w14:paraId="798029D9" w14:textId="5DDF361C" w:rsidR="008E5584" w:rsidRPr="00F649DA" w:rsidRDefault="00A10993" w:rsidP="00F649DA">
            <w:pPr>
              <w:spacing w:after="0" w:line="240" w:lineRule="auto"/>
            </w:pPr>
            <w:hyperlink r:id="rId23" w:history="1">
              <w:r w:rsidRPr="00A10993">
                <w:rPr>
                  <w:rStyle w:val="Hyperlink"/>
                  <w:rFonts w:cs="Arial"/>
                </w:rPr>
                <w:t>OUP: Why Closing the Word Gap Matters</w:t>
              </w:r>
            </w:hyperlink>
          </w:p>
          <w:p w14:paraId="786E25AB" w14:textId="0B80DB09" w:rsidR="00A10993" w:rsidRDefault="00A10993" w:rsidP="00F649DA">
            <w:pPr>
              <w:pStyle w:val="TableRowCentered"/>
              <w:spacing w:after="0"/>
              <w:ind w:left="0"/>
              <w:jc w:val="left"/>
              <w:rPr>
                <w:rFonts w:cs="Arial"/>
                <w:color w:val="auto"/>
                <w:szCs w:val="24"/>
              </w:rPr>
            </w:pPr>
            <w:hyperlink r:id="rId24" w:history="1">
              <w:r w:rsidRPr="00A10993">
                <w:rPr>
                  <w:rStyle w:val="Hyperlink"/>
                  <w:rFonts w:cs="Arial"/>
                  <w:szCs w:val="24"/>
                </w:rPr>
                <w:t>OUP: How Schools are Closing the Word Gap</w:t>
              </w:r>
            </w:hyperlink>
          </w:p>
          <w:p w14:paraId="039C5D1C" w14:textId="4670A7AB" w:rsidR="00E12837" w:rsidRDefault="00E12837" w:rsidP="00F649DA">
            <w:pPr>
              <w:suppressAutoHyphens w:val="0"/>
              <w:autoSpaceDN/>
              <w:spacing w:before="60" w:after="0" w:line="240" w:lineRule="auto"/>
              <w:ind w:right="57"/>
              <w:rPr>
                <w:rStyle w:val="Hyperlink"/>
                <w:rFonts w:cs="Arial"/>
              </w:rPr>
            </w:pPr>
            <w:hyperlink r:id="rId25" w:history="1">
              <w:r w:rsidRPr="00E12837">
                <w:rPr>
                  <w:rStyle w:val="Hyperlink"/>
                  <w:rFonts w:cs="Arial"/>
                </w:rPr>
                <w:t>Numicon The Importance of Mathematical Language</w:t>
              </w:r>
            </w:hyperlink>
          </w:p>
          <w:p w14:paraId="3007B5A0" w14:textId="4799F346" w:rsidR="0050141A" w:rsidRPr="00F649DA" w:rsidRDefault="00F649DA" w:rsidP="00F649DA">
            <w:pPr>
              <w:suppressAutoHyphens w:val="0"/>
              <w:autoSpaceDN/>
              <w:spacing w:before="60" w:after="0" w:line="240" w:lineRule="auto"/>
              <w:ind w:right="57"/>
              <w:rPr>
                <w:rFonts w:cs="Arial"/>
                <w:color w:val="0070C0"/>
                <w:u w:val="single"/>
              </w:rPr>
            </w:pPr>
            <w:hyperlink r:id="rId26" w:history="1">
              <w:r w:rsidRPr="00C6387E">
                <w:rPr>
                  <w:rStyle w:val="Hyperlink"/>
                  <w:rFonts w:cs="Arial"/>
                </w:rPr>
                <w:t>EEF Oral Language Interventions</w:t>
              </w:r>
            </w:hyperlink>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CF7AF7" w14:textId="0CB12C03" w:rsidR="0050141A" w:rsidRDefault="00F649DA" w:rsidP="00F649DA">
            <w:pPr>
              <w:pStyle w:val="TableRow"/>
              <w:spacing w:after="0"/>
              <w:ind w:left="0"/>
              <w:textAlignment w:val="baseline"/>
              <w:rPr>
                <w:rFonts w:cs="Arial"/>
              </w:rPr>
            </w:pPr>
            <w:r>
              <w:rPr>
                <w:rFonts w:cs="Arial"/>
              </w:rPr>
              <w:t>1,2,3,4,5,6</w:t>
            </w:r>
          </w:p>
        </w:tc>
      </w:tr>
      <w:tr w:rsidR="0050141A" w14:paraId="047042A4" w14:textId="77777777" w:rsidTr="0050141A">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CE618E" w14:textId="77777777" w:rsidR="0050141A" w:rsidRDefault="0050141A" w:rsidP="0050141A">
            <w:pPr>
              <w:spacing w:before="60" w:after="120" w:line="240" w:lineRule="auto"/>
              <w:ind w:right="57"/>
              <w:rPr>
                <w:color w:val="auto"/>
              </w:rPr>
            </w:pPr>
            <w:r>
              <w:rPr>
                <w:color w:val="auto"/>
              </w:rPr>
              <w:t xml:space="preserve">Further enhance </w:t>
            </w:r>
            <w:r w:rsidRPr="00E27862">
              <w:rPr>
                <w:color w:val="auto"/>
              </w:rPr>
              <w:t>maths teaching and curriculum planning in</w:t>
            </w:r>
            <w:r>
              <w:rPr>
                <w:color w:val="auto"/>
              </w:rPr>
              <w:t xml:space="preserve"> line with DfE and EEF guidance – fluency and mastery.</w:t>
            </w:r>
          </w:p>
          <w:p w14:paraId="23A59481" w14:textId="77777777" w:rsidR="0050141A" w:rsidRDefault="0050141A" w:rsidP="0050141A">
            <w:pPr>
              <w:spacing w:before="60" w:after="120" w:line="240" w:lineRule="auto"/>
              <w:ind w:left="28" w:right="57"/>
              <w:rPr>
                <w:color w:val="auto"/>
              </w:rPr>
            </w:pPr>
            <w:r>
              <w:rPr>
                <w:color w:val="auto"/>
              </w:rPr>
              <w:t>Continue t</w:t>
            </w:r>
            <w:r w:rsidRPr="00E27862">
              <w:rPr>
                <w:color w:val="auto"/>
              </w:rPr>
              <w:t xml:space="preserve">o access </w:t>
            </w:r>
            <w:r>
              <w:rPr>
                <w:color w:val="auto"/>
              </w:rPr>
              <w:t xml:space="preserve">Numicon Advocacy school support </w:t>
            </w:r>
            <w:r w:rsidRPr="00E27862">
              <w:rPr>
                <w:color w:val="auto"/>
              </w:rPr>
              <w:t>and CPD (including Teaching for Mastery training).</w:t>
            </w:r>
            <w:r>
              <w:rPr>
                <w:color w:val="auto"/>
              </w:rPr>
              <w:t xml:space="preserve"> </w:t>
            </w:r>
          </w:p>
          <w:p w14:paraId="3E29EFBB" w14:textId="4076C929" w:rsidR="0050141A" w:rsidRDefault="0050141A" w:rsidP="0050141A">
            <w:pPr>
              <w:spacing w:before="60" w:after="120" w:line="240" w:lineRule="auto"/>
              <w:ind w:right="57"/>
              <w:rPr>
                <w:color w:val="auto"/>
              </w:rPr>
            </w:pPr>
            <w:r>
              <w:rPr>
                <w:color w:val="auto"/>
              </w:rPr>
              <w:t xml:space="preserve">Maths specialist teacher role in school – non-class based to </w:t>
            </w:r>
            <w:r w:rsidR="00FB3D52">
              <w:rPr>
                <w:color w:val="auto"/>
              </w:rPr>
              <w:t>provide</w:t>
            </w:r>
            <w:r>
              <w:rPr>
                <w:color w:val="auto"/>
              </w:rPr>
              <w:t xml:space="preserve"> ongoing CPD</w:t>
            </w:r>
          </w:p>
          <w:p w14:paraId="6E8F3FDD" w14:textId="70BC009D" w:rsidR="0050141A" w:rsidRPr="00EC56FC" w:rsidRDefault="0050141A" w:rsidP="0050141A">
            <w:pPr>
              <w:suppressAutoHyphens w:val="0"/>
              <w:autoSpaceDN/>
              <w:spacing w:before="60" w:after="120" w:line="240" w:lineRule="auto"/>
              <w:ind w:left="28" w:right="57"/>
              <w:rPr>
                <w:color w:val="auto"/>
              </w:rPr>
            </w:pPr>
            <w:r>
              <w:rPr>
                <w:color w:val="auto"/>
              </w:rPr>
              <w:t>Continue subscripti</w:t>
            </w:r>
            <w:r w:rsidR="00F649DA">
              <w:rPr>
                <w:color w:val="auto"/>
              </w:rPr>
              <w:t>on to Number sense and pay for s</w:t>
            </w:r>
            <w:r>
              <w:rPr>
                <w:color w:val="auto"/>
              </w:rPr>
              <w:t xml:space="preserve">taff to complete In depth training.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2EB39" w14:textId="2C8203BD" w:rsidR="00F649DA" w:rsidRPr="00F649DA" w:rsidRDefault="00F649DA" w:rsidP="0050141A">
            <w:pPr>
              <w:suppressAutoHyphens w:val="0"/>
              <w:autoSpaceDN/>
              <w:spacing w:before="60" w:after="120" w:line="240" w:lineRule="auto"/>
              <w:ind w:left="57" w:right="57"/>
              <w:rPr>
                <w:rFonts w:cs="Arial"/>
                <w:iCs/>
                <w:color w:val="auto"/>
              </w:rPr>
            </w:pPr>
            <w:r w:rsidRPr="00F649DA">
              <w:rPr>
                <w:rFonts w:cs="Arial"/>
                <w:iCs/>
                <w:color w:val="auto"/>
              </w:rPr>
              <w:t xml:space="preserve">Evidence shows that </w:t>
            </w:r>
            <w:r w:rsidRPr="00F649DA">
              <w:rPr>
                <w:rFonts w:cs="Arial"/>
                <w:color w:val="auto"/>
                <w:lang w:val="en"/>
              </w:rPr>
              <w:t>excellent maths teaching requires good content knowledge. Excellent teachers also know the ways in which pupils learn mathematics and the difficulties they are likely to encounter, and how mathematics can be most effectively taught.</w:t>
            </w:r>
          </w:p>
          <w:p w14:paraId="468034C5" w14:textId="403CBD81" w:rsidR="00F649DA" w:rsidRPr="00D01A6D" w:rsidRDefault="00F649DA" w:rsidP="00F649DA">
            <w:pPr>
              <w:suppressAutoHyphens w:val="0"/>
              <w:autoSpaceDN/>
              <w:spacing w:before="60" w:after="120" w:line="240" w:lineRule="auto"/>
              <w:ind w:right="57"/>
              <w:rPr>
                <w:rFonts w:cs="Arial"/>
                <w:iCs/>
                <w:color w:val="0070C0"/>
              </w:rPr>
            </w:pPr>
            <w:hyperlink r:id="rId27" w:history="1">
              <w:r w:rsidRPr="00F649DA">
                <w:rPr>
                  <w:rStyle w:val="Hyperlink"/>
                  <w:rFonts w:cs="Arial"/>
                  <w:iCs/>
                </w:rPr>
                <w:t>DFE Maths at KS1 and 2</w:t>
              </w:r>
            </w:hyperlink>
          </w:p>
          <w:p w14:paraId="0892004B" w14:textId="47470332" w:rsidR="00E12837" w:rsidRPr="00E27862" w:rsidRDefault="00F649DA" w:rsidP="00F649DA">
            <w:pPr>
              <w:suppressAutoHyphens w:val="0"/>
              <w:autoSpaceDN/>
              <w:spacing w:before="60" w:after="120" w:line="240" w:lineRule="auto"/>
              <w:ind w:right="57"/>
              <w:rPr>
                <w:rFonts w:cs="Arial"/>
                <w:color w:val="auto"/>
                <w:u w:val="single"/>
              </w:rPr>
            </w:pPr>
            <w:hyperlink r:id="rId28" w:history="1">
              <w:r>
                <w:rPr>
                  <w:rStyle w:val="Hyperlink"/>
                  <w:rFonts w:cs="Arial"/>
                </w:rPr>
                <w:t xml:space="preserve">EEF Maths at KS2 </w:t>
              </w:r>
            </w:hyperlink>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07AD7369" w:rsidR="0050141A" w:rsidRPr="00E27862" w:rsidRDefault="00F649DA" w:rsidP="0050141A">
            <w:pPr>
              <w:pStyle w:val="TableRowCentered"/>
              <w:jc w:val="left"/>
              <w:rPr>
                <w:color w:val="auto"/>
                <w:szCs w:val="24"/>
              </w:rPr>
            </w:pPr>
            <w:r>
              <w:rPr>
                <w:color w:val="auto"/>
                <w:szCs w:val="24"/>
              </w:rPr>
              <w:t>5</w:t>
            </w:r>
          </w:p>
        </w:tc>
      </w:tr>
      <w:tr w:rsidR="0050141A" w14:paraId="2C76C953" w14:textId="77777777" w:rsidTr="0050141A">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787E1" w14:textId="1E90AB87" w:rsidR="0050141A" w:rsidRPr="00E27862" w:rsidRDefault="0050141A" w:rsidP="0050141A">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lastRenderedPageBreak/>
              <w:t>Improve the quality of social and emotional learning.</w:t>
            </w:r>
          </w:p>
          <w:p w14:paraId="7FEACF77" w14:textId="77777777" w:rsidR="0050141A" w:rsidRPr="00E27862" w:rsidRDefault="0050141A" w:rsidP="0050141A">
            <w:pPr>
              <w:suppressAutoHyphens w:val="0"/>
              <w:autoSpaceDN/>
              <w:spacing w:after="0" w:line="240" w:lineRule="auto"/>
              <w:rPr>
                <w:rFonts w:cs="Arial"/>
                <w:iCs/>
                <w:color w:val="auto"/>
                <w:lang w:val="en-US" w:eastAsia="en-US"/>
              </w:rPr>
            </w:pPr>
          </w:p>
          <w:p w14:paraId="4265495B" w14:textId="77777777" w:rsidR="0050141A" w:rsidRDefault="0050141A" w:rsidP="0050141A">
            <w:pPr>
              <w:suppressAutoHyphens w:val="0"/>
              <w:autoSpaceDN/>
              <w:spacing w:line="240" w:lineRule="auto"/>
              <w:rPr>
                <w:rFonts w:cs="Arial"/>
                <w:iCs/>
                <w:color w:val="auto"/>
                <w:lang w:val="en-US" w:eastAsia="en-US"/>
              </w:rPr>
            </w:pPr>
            <w:r w:rsidRPr="00E27862">
              <w:rPr>
                <w:rFonts w:cs="Arial"/>
                <w:iCs/>
                <w:color w:val="auto"/>
                <w:lang w:val="en-US" w:eastAsia="en-US"/>
              </w:rPr>
              <w:t>S</w:t>
            </w:r>
            <w:r>
              <w:rPr>
                <w:rFonts w:cs="Arial"/>
                <w:iCs/>
                <w:color w:val="auto"/>
                <w:lang w:val="en-US" w:eastAsia="en-US"/>
              </w:rPr>
              <w:t xml:space="preserve">ocial and </w:t>
            </w:r>
            <w:r w:rsidR="00FB3D52">
              <w:rPr>
                <w:rFonts w:cs="Arial"/>
                <w:iCs/>
                <w:color w:val="auto"/>
                <w:lang w:val="en-US" w:eastAsia="en-US"/>
              </w:rPr>
              <w:t xml:space="preserve">emotional </w:t>
            </w:r>
            <w:r w:rsidR="00FB3D52" w:rsidRPr="00E27862">
              <w:rPr>
                <w:rFonts w:cs="Arial"/>
                <w:iCs/>
                <w:color w:val="auto"/>
                <w:lang w:val="en-US" w:eastAsia="en-US"/>
              </w:rPr>
              <w:t>approaches</w:t>
            </w:r>
            <w:r w:rsidRPr="00E27862">
              <w:rPr>
                <w:rFonts w:cs="Arial"/>
                <w:iCs/>
                <w:color w:val="auto"/>
                <w:lang w:val="en-US" w:eastAsia="en-US"/>
              </w:rPr>
              <w:t xml:space="preserve"> will be embedded into routine educational practices and supported by professional development and training for staff.</w:t>
            </w:r>
          </w:p>
          <w:p w14:paraId="2A7AB488" w14:textId="48FC0A67" w:rsidR="00534DC4" w:rsidRPr="00E27862" w:rsidRDefault="00534DC4" w:rsidP="0050141A">
            <w:pPr>
              <w:suppressAutoHyphens w:val="0"/>
              <w:autoSpaceDN/>
              <w:spacing w:line="240" w:lineRule="auto"/>
              <w:rPr>
                <w:rFonts w:cs="Arial"/>
                <w:iCs/>
                <w:color w:val="auto"/>
                <w:lang w:val="en-US" w:eastAsia="en-US"/>
              </w:rPr>
            </w:pPr>
            <w:r>
              <w:rPr>
                <w:rFonts w:cs="Arial"/>
                <w:iCs/>
                <w:color w:val="auto"/>
                <w:lang w:val="en-US" w:eastAsia="en-US"/>
              </w:rPr>
              <w:t xml:space="preserve">Continue to use the Learning Mentor sessions and provide play therapy where needed.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B96080" w14:textId="72DE3A29" w:rsidR="0050141A" w:rsidRPr="00E27862" w:rsidRDefault="0050141A" w:rsidP="0050141A">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406C7DAD" w14:textId="51B7A3AB" w:rsidR="0050141A" w:rsidRPr="0050141A" w:rsidRDefault="00012ACA" w:rsidP="00012ACA">
            <w:pPr>
              <w:pStyle w:val="TableRowCentered"/>
              <w:spacing w:after="120"/>
              <w:jc w:val="left"/>
              <w:rPr>
                <w:color w:val="0070C0"/>
                <w:szCs w:val="24"/>
                <w:u w:val="single"/>
              </w:rPr>
            </w:pPr>
            <w:hyperlink r:id="rId29" w:history="1">
              <w:r w:rsidRPr="00012ACA">
                <w:rPr>
                  <w:rStyle w:val="Hyperlink"/>
                  <w:szCs w:val="24"/>
                </w:rPr>
                <w:t>EEF Social and Emotional Learning</w:t>
              </w:r>
            </w:hyperlink>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E3F80" w14:textId="30989330" w:rsidR="0050141A" w:rsidRPr="00E27862" w:rsidRDefault="00676605" w:rsidP="0050141A">
            <w:pPr>
              <w:pStyle w:val="TableRowCentered"/>
              <w:jc w:val="left"/>
              <w:rPr>
                <w:color w:val="auto"/>
                <w:szCs w:val="24"/>
                <w:highlight w:val="yellow"/>
              </w:rPr>
            </w:pPr>
            <w:r w:rsidRPr="00676605">
              <w:rPr>
                <w:color w:val="auto"/>
                <w:szCs w:val="24"/>
              </w:rPr>
              <w:t>6</w:t>
            </w:r>
          </w:p>
        </w:tc>
      </w:tr>
    </w:tbl>
    <w:p w14:paraId="2A7D5523" w14:textId="44A3966A" w:rsidR="00E66558" w:rsidRDefault="009D71E8" w:rsidP="00AD0343">
      <w:pPr>
        <w:spacing w:before="240"/>
        <w:rPr>
          <w:b/>
          <w:bCs/>
          <w:color w:val="104F75"/>
          <w:sz w:val="28"/>
          <w:szCs w:val="28"/>
        </w:rPr>
      </w:pPr>
      <w:r>
        <w:rPr>
          <w:b/>
          <w:bCs/>
          <w:color w:val="104F75"/>
          <w:sz w:val="28"/>
          <w:szCs w:val="28"/>
        </w:rPr>
        <w:t xml:space="preserve">Targeted academic support </w:t>
      </w:r>
    </w:p>
    <w:p w14:paraId="2A7D5524" w14:textId="184DF280" w:rsidR="00E66558" w:rsidRDefault="009D71E8" w:rsidP="00877501">
      <w:r>
        <w:t xml:space="preserve">Budgeted cost: </w:t>
      </w:r>
      <w:r w:rsidRPr="00E27862">
        <w:rPr>
          <w:b/>
          <w:bCs/>
          <w:color w:val="auto"/>
        </w:rPr>
        <w:t>£</w:t>
      </w:r>
      <w:r w:rsidR="00F954EC">
        <w:rPr>
          <w:b/>
          <w:bCs/>
          <w:color w:val="auto"/>
        </w:rPr>
        <w:t xml:space="preserve"> 41</w:t>
      </w:r>
      <w:r w:rsidR="00534DC4">
        <w:rPr>
          <w:b/>
          <w:bCs/>
          <w:color w:val="auto"/>
        </w:rPr>
        <w:t>,000</w:t>
      </w:r>
    </w:p>
    <w:tbl>
      <w:tblPr>
        <w:tblW w:w="5442" w:type="pct"/>
        <w:tblLayout w:type="fixed"/>
        <w:tblCellMar>
          <w:left w:w="10" w:type="dxa"/>
          <w:right w:w="10" w:type="dxa"/>
        </w:tblCellMar>
        <w:tblLook w:val="04A0" w:firstRow="1" w:lastRow="0" w:firstColumn="1" w:lastColumn="0" w:noHBand="0" w:noVBand="1"/>
      </w:tblPr>
      <w:tblGrid>
        <w:gridCol w:w="3397"/>
        <w:gridCol w:w="5386"/>
        <w:gridCol w:w="1542"/>
      </w:tblGrid>
      <w:tr w:rsidR="00E66558" w14:paraId="2A7D5528" w14:textId="77777777" w:rsidTr="00B5090B">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E76B0" w14:paraId="2A7D552C" w14:textId="77777777" w:rsidTr="00B5090B">
        <w:trPr>
          <w:trHeight w:val="301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998EF" w14:textId="3988FDAB" w:rsidR="0050141A" w:rsidRDefault="00883D2A" w:rsidP="000B1F32">
            <w:pPr>
              <w:suppressAutoHyphens w:val="0"/>
              <w:autoSpaceDN/>
              <w:spacing w:before="60" w:after="0" w:line="240" w:lineRule="auto"/>
              <w:ind w:left="29" w:right="57"/>
              <w:rPr>
                <w:iCs/>
                <w:color w:val="auto"/>
                <w:lang w:val="en-US"/>
              </w:rPr>
            </w:pPr>
            <w:r>
              <w:rPr>
                <w:iCs/>
                <w:color w:val="auto"/>
                <w:lang w:val="en-US"/>
              </w:rPr>
              <w:t xml:space="preserve">Screen pupils and implement the Nuffield Early Language Intervention for children in EYFS. Ensure </w:t>
            </w:r>
            <w:r w:rsidR="00676605">
              <w:rPr>
                <w:iCs/>
                <w:color w:val="auto"/>
                <w:lang w:val="en-US"/>
              </w:rPr>
              <w:t xml:space="preserve">an </w:t>
            </w:r>
            <w:r>
              <w:rPr>
                <w:iCs/>
                <w:color w:val="auto"/>
                <w:lang w:val="en-US"/>
              </w:rPr>
              <w:t>a</w:t>
            </w:r>
            <w:r w:rsidR="00676605">
              <w:rPr>
                <w:iCs/>
                <w:color w:val="auto"/>
                <w:lang w:val="en-US"/>
              </w:rPr>
              <w:t xml:space="preserve">dditional </w:t>
            </w:r>
            <w:r>
              <w:rPr>
                <w:iCs/>
                <w:color w:val="auto"/>
                <w:lang w:val="en-US"/>
              </w:rPr>
              <w:t xml:space="preserve">staff member is trained in the delivery of this. </w:t>
            </w:r>
          </w:p>
          <w:p w14:paraId="2A7D5529" w14:textId="59021A7B" w:rsidR="007F4265" w:rsidRPr="0050141A" w:rsidRDefault="007F4265" w:rsidP="00676605">
            <w:pPr>
              <w:suppressAutoHyphens w:val="0"/>
              <w:autoSpaceDN/>
              <w:spacing w:before="60" w:after="0" w:line="240" w:lineRule="auto"/>
              <w:ind w:left="29" w:right="57"/>
              <w:rPr>
                <w:iCs/>
                <w:color w:val="auto"/>
                <w:lang w:val="en-US"/>
              </w:rPr>
            </w:pPr>
            <w:r>
              <w:rPr>
                <w:rFonts w:cs="Arial"/>
                <w:iCs/>
                <w:color w:val="auto"/>
                <w:lang w:val="en-US"/>
              </w:rPr>
              <w:t xml:space="preserve">To continue early intervention led by </w:t>
            </w:r>
            <w:r w:rsidR="00FB3D52">
              <w:rPr>
                <w:rFonts w:cs="Arial"/>
                <w:iCs/>
                <w:color w:val="auto"/>
                <w:lang w:val="en-US"/>
              </w:rPr>
              <w:t>speech</w:t>
            </w:r>
            <w:r>
              <w:rPr>
                <w:rFonts w:cs="Arial"/>
                <w:iCs/>
                <w:color w:val="auto"/>
                <w:lang w:val="en-US"/>
              </w:rPr>
              <w:t xml:space="preserve"> and language </w:t>
            </w:r>
            <w:r w:rsidR="00FB3D52">
              <w:rPr>
                <w:rFonts w:cs="Arial"/>
                <w:iCs/>
                <w:color w:val="auto"/>
                <w:lang w:val="en-US"/>
              </w:rPr>
              <w:t>therapist putting</w:t>
            </w:r>
            <w:r>
              <w:rPr>
                <w:rFonts w:cs="Arial"/>
                <w:iCs/>
                <w:color w:val="auto"/>
                <w:lang w:val="en-US"/>
              </w:rPr>
              <w:t xml:space="preserve"> </w:t>
            </w:r>
            <w:r w:rsidR="00FB3D52">
              <w:rPr>
                <w:rFonts w:cs="Arial"/>
                <w:iCs/>
                <w:color w:val="auto"/>
                <w:lang w:val="en-US"/>
              </w:rPr>
              <w:t>intervention</w:t>
            </w:r>
            <w:r w:rsidR="00676605">
              <w:rPr>
                <w:rFonts w:cs="Arial"/>
                <w:iCs/>
                <w:color w:val="auto"/>
                <w:lang w:val="en-US"/>
              </w:rPr>
              <w:t>s</w:t>
            </w:r>
            <w:r>
              <w:rPr>
                <w:rFonts w:cs="Arial"/>
                <w:iCs/>
                <w:color w:val="auto"/>
                <w:lang w:val="en-US"/>
              </w:rPr>
              <w:t xml:space="preserve"> in place </w:t>
            </w:r>
            <w:r w:rsidR="00FB3D52">
              <w:rPr>
                <w:rFonts w:cs="Arial"/>
                <w:iCs/>
                <w:color w:val="auto"/>
                <w:lang w:val="en-US"/>
              </w:rPr>
              <w:t>early</w:t>
            </w:r>
            <w:r>
              <w:rPr>
                <w:rFonts w:cs="Arial"/>
                <w:iCs/>
                <w:color w:val="auto"/>
                <w:lang w:val="en-US"/>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E1BD" w14:textId="2E60F468" w:rsidR="008D0239" w:rsidRPr="00E27862" w:rsidRDefault="00D648CD" w:rsidP="00676605">
            <w:pPr>
              <w:pStyle w:val="TableRowCentered"/>
              <w:spacing w:after="0"/>
              <w:ind w:left="0"/>
              <w:jc w:val="left"/>
              <w:rPr>
                <w:rFonts w:cs="Arial"/>
                <w:color w:val="auto"/>
                <w:szCs w:val="24"/>
              </w:rPr>
            </w:pPr>
            <w:r w:rsidRPr="00E27862">
              <w:rPr>
                <w:rFonts w:cs="Arial"/>
                <w:color w:val="auto"/>
                <w:szCs w:val="24"/>
              </w:rPr>
              <w:t>Oral l</w:t>
            </w:r>
            <w:r w:rsidR="00F22D86" w:rsidRPr="00E27862">
              <w:rPr>
                <w:rFonts w:cs="Arial"/>
                <w:color w:val="auto"/>
                <w:szCs w:val="24"/>
              </w:rPr>
              <w:t>a</w:t>
            </w:r>
            <w:r w:rsidR="00E3028B" w:rsidRPr="00E27862">
              <w:rPr>
                <w:rFonts w:cs="Arial"/>
                <w:color w:val="auto"/>
                <w:szCs w:val="24"/>
              </w:rPr>
              <w:t xml:space="preserve">nguage </w:t>
            </w:r>
            <w:r w:rsidR="00AD5040" w:rsidRPr="00E27862">
              <w:rPr>
                <w:rFonts w:cs="Arial"/>
                <w:color w:val="auto"/>
                <w:szCs w:val="24"/>
              </w:rPr>
              <w:t>i</w:t>
            </w:r>
            <w:r w:rsidR="00E3028B" w:rsidRPr="00E27862">
              <w:rPr>
                <w:rFonts w:cs="Arial"/>
                <w:color w:val="auto"/>
                <w:szCs w:val="24"/>
              </w:rPr>
              <w:t>ntervention</w:t>
            </w:r>
            <w:r w:rsidR="000C238F" w:rsidRPr="00E27862">
              <w:rPr>
                <w:rFonts w:cs="Arial"/>
                <w:color w:val="auto"/>
                <w:szCs w:val="24"/>
              </w:rPr>
              <w:t>s</w:t>
            </w:r>
            <w:r w:rsidR="00E3028B" w:rsidRPr="00E27862">
              <w:rPr>
                <w:rFonts w:cs="Arial"/>
                <w:color w:val="auto"/>
                <w:szCs w:val="24"/>
              </w:rPr>
              <w:t xml:space="preserve"> </w:t>
            </w:r>
            <w:r w:rsidR="00AD5040" w:rsidRPr="00E27862">
              <w:rPr>
                <w:rFonts w:cs="Arial"/>
                <w:color w:val="auto"/>
                <w:szCs w:val="24"/>
              </w:rPr>
              <w:t xml:space="preserve">can </w:t>
            </w:r>
            <w:r w:rsidR="00E3028B" w:rsidRPr="00E27862">
              <w:rPr>
                <w:rFonts w:cs="Arial"/>
                <w:color w:val="auto"/>
                <w:szCs w:val="24"/>
              </w:rPr>
              <w:t xml:space="preserve">have a positive impact on </w:t>
            </w:r>
            <w:r w:rsidR="00AD5040" w:rsidRPr="00E27862">
              <w:rPr>
                <w:rFonts w:cs="Arial"/>
                <w:color w:val="auto"/>
                <w:szCs w:val="24"/>
              </w:rPr>
              <w:t xml:space="preserve">pupils’ </w:t>
            </w:r>
            <w:r w:rsidR="00E3028B" w:rsidRPr="00E27862">
              <w:rPr>
                <w:rFonts w:cs="Arial"/>
                <w:color w:val="auto"/>
                <w:szCs w:val="24"/>
              </w:rPr>
              <w:t>language skills</w:t>
            </w:r>
            <w:r w:rsidR="00A35376" w:rsidRPr="00E27862">
              <w:rPr>
                <w:rFonts w:cs="Arial"/>
                <w:color w:val="auto"/>
                <w:szCs w:val="24"/>
              </w:rPr>
              <w:t>. Appro</w:t>
            </w:r>
            <w:r w:rsidR="00EC01D3" w:rsidRPr="00E27862">
              <w:rPr>
                <w:rFonts w:cs="Arial"/>
                <w:color w:val="auto"/>
                <w:szCs w:val="24"/>
              </w:rPr>
              <w:t>aches that focus on speaking, listening and a combination of the two</w:t>
            </w:r>
            <w:r w:rsidR="00676605">
              <w:rPr>
                <w:rFonts w:cs="Arial"/>
                <w:color w:val="auto"/>
                <w:szCs w:val="24"/>
              </w:rPr>
              <w:t>,</w:t>
            </w:r>
            <w:r w:rsidR="00B745BD" w:rsidRPr="00E27862">
              <w:rPr>
                <w:rFonts w:cs="Arial"/>
                <w:color w:val="auto"/>
                <w:szCs w:val="24"/>
              </w:rPr>
              <w:t xml:space="preserve"> show positive impacts on attainment</w:t>
            </w:r>
            <w:r w:rsidR="00676605">
              <w:rPr>
                <w:rFonts w:cs="Arial"/>
                <w:color w:val="auto"/>
                <w:szCs w:val="24"/>
              </w:rPr>
              <w:t>.</w:t>
            </w:r>
          </w:p>
          <w:p w14:paraId="1F6E1DE2" w14:textId="77777777" w:rsidR="00EA6C9B" w:rsidRDefault="00EA6C9B" w:rsidP="00EA6C9B">
            <w:pPr>
              <w:suppressAutoHyphens w:val="0"/>
              <w:autoSpaceDN/>
              <w:spacing w:before="60" w:after="60" w:line="240" w:lineRule="auto"/>
              <w:ind w:right="57"/>
              <w:rPr>
                <w:rFonts w:cs="Arial"/>
                <w:color w:val="0070C0"/>
                <w:u w:val="single"/>
              </w:rPr>
            </w:pPr>
            <w:hyperlink r:id="rId30" w:history="1">
              <w:r w:rsidRPr="00C6387E">
                <w:rPr>
                  <w:rStyle w:val="Hyperlink"/>
                  <w:rFonts w:cs="Arial"/>
                </w:rPr>
                <w:t>EEF Oral Language Interventions</w:t>
              </w:r>
            </w:hyperlink>
          </w:p>
          <w:p w14:paraId="2A7D552A" w14:textId="4C5E71B5" w:rsidR="009D2E96" w:rsidRPr="00E27862" w:rsidRDefault="00EA6C9B" w:rsidP="00676605">
            <w:pPr>
              <w:pStyle w:val="TableRowCentered"/>
              <w:spacing w:after="0"/>
              <w:ind w:left="0"/>
              <w:jc w:val="left"/>
              <w:rPr>
                <w:color w:val="auto"/>
                <w:szCs w:val="24"/>
              </w:rPr>
            </w:pPr>
            <w:hyperlink r:id="rId31" w:history="1">
              <w:r w:rsidRPr="00EA6C9B">
                <w:rPr>
                  <w:rStyle w:val="Hyperlink"/>
                  <w:szCs w:val="24"/>
                </w:rPr>
                <w:t>Nuffield Early Language Intervention</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6134B59" w:rsidR="001E76B0" w:rsidRPr="00295351" w:rsidRDefault="00676605" w:rsidP="000B1F32">
            <w:pPr>
              <w:pStyle w:val="TableRowCentered"/>
              <w:spacing w:after="0"/>
              <w:jc w:val="left"/>
              <w:rPr>
                <w:color w:val="auto"/>
                <w:szCs w:val="22"/>
              </w:rPr>
            </w:pPr>
            <w:r>
              <w:rPr>
                <w:color w:val="auto"/>
                <w:szCs w:val="22"/>
              </w:rPr>
              <w:t>1,2</w:t>
            </w:r>
          </w:p>
        </w:tc>
      </w:tr>
      <w:tr w:rsidR="00A34557" w14:paraId="5DBDFA5D" w14:textId="77777777" w:rsidTr="00B5090B">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9C9D1" w14:textId="77777777" w:rsidR="00A34557" w:rsidRDefault="00A34557" w:rsidP="00A34557">
            <w:pPr>
              <w:pStyle w:val="TableRow"/>
              <w:rPr>
                <w:rFonts w:cs="Arial"/>
                <w:iCs/>
                <w:color w:val="auto"/>
                <w:lang w:val="en-US"/>
              </w:rPr>
            </w:pPr>
            <w:r w:rsidRPr="00E27862">
              <w:rPr>
                <w:rFonts w:cs="Arial"/>
                <w:iCs/>
                <w:color w:val="auto"/>
                <w:lang w:val="en-US"/>
              </w:rPr>
              <w:t xml:space="preserve">Additional phonics sessions targeted at disadvantaged pupils who require further phonics support. </w:t>
            </w:r>
          </w:p>
          <w:p w14:paraId="3D81207A" w14:textId="77777777" w:rsidR="00A34557" w:rsidRDefault="00A34557" w:rsidP="00A34557">
            <w:pPr>
              <w:pStyle w:val="TableRow"/>
              <w:rPr>
                <w:rFonts w:cs="Arial"/>
                <w:iCs/>
                <w:color w:val="auto"/>
                <w:lang w:val="en-US"/>
              </w:rPr>
            </w:pPr>
          </w:p>
          <w:p w14:paraId="4D7A16D0" w14:textId="19F740E4" w:rsidR="00A34557" w:rsidRPr="00E27862" w:rsidRDefault="00A34557" w:rsidP="00A34557">
            <w:pPr>
              <w:pStyle w:val="TableRow"/>
              <w:rPr>
                <w:rFonts w:cs="Arial"/>
                <w:iCs/>
                <w:color w:val="auto"/>
                <w:lang w:val="en-US"/>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9B19" w14:textId="77777777" w:rsidR="00EA6C9B" w:rsidRDefault="00A34557" w:rsidP="00676605">
            <w:pPr>
              <w:pStyle w:val="TableRowCentered"/>
              <w:ind w:left="0"/>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w:t>
            </w:r>
            <w:r w:rsidR="00EA6C9B">
              <w:rPr>
                <w:rFonts w:cs="Arial"/>
                <w:color w:val="auto"/>
                <w:szCs w:val="24"/>
              </w:rPr>
              <w:t>ns over a period up to 12 weeks</w:t>
            </w:r>
          </w:p>
          <w:p w14:paraId="7E1880FA" w14:textId="77777777" w:rsidR="00EA6C9B" w:rsidRDefault="00EA6C9B" w:rsidP="00676605">
            <w:pPr>
              <w:pStyle w:val="TableRowCentered"/>
              <w:ind w:left="0"/>
              <w:jc w:val="left"/>
              <w:rPr>
                <w:color w:val="0070C0"/>
                <w:szCs w:val="24"/>
                <w:u w:val="single"/>
              </w:rPr>
            </w:pPr>
            <w:hyperlink r:id="rId32" w:history="1">
              <w:r w:rsidRPr="008E5584">
                <w:rPr>
                  <w:rStyle w:val="Hyperlink"/>
                  <w:szCs w:val="24"/>
                </w:rPr>
                <w:t>Phonics Resea</w:t>
              </w:r>
              <w:r>
                <w:rPr>
                  <w:rStyle w:val="Hyperlink"/>
                  <w:szCs w:val="24"/>
                </w:rPr>
                <w:t>r</w:t>
              </w:r>
              <w:r w:rsidRPr="008E5584">
                <w:rPr>
                  <w:rStyle w:val="Hyperlink"/>
                  <w:szCs w:val="24"/>
                </w:rPr>
                <w:t>ch EEF</w:t>
              </w:r>
            </w:hyperlink>
          </w:p>
          <w:p w14:paraId="2A29EE15" w14:textId="0F6BBB2E" w:rsidR="00EA6C9B" w:rsidRDefault="00EA6C9B" w:rsidP="00676605">
            <w:pPr>
              <w:pStyle w:val="TableRowCentered"/>
              <w:ind w:left="0"/>
              <w:jc w:val="left"/>
              <w:rPr>
                <w:color w:val="0070C0"/>
                <w:szCs w:val="24"/>
                <w:u w:val="single"/>
              </w:rPr>
            </w:pPr>
            <w:hyperlink r:id="rId33" w:history="1">
              <w:r w:rsidRPr="008E5584">
                <w:rPr>
                  <w:rStyle w:val="Hyperlink"/>
                  <w:szCs w:val="24"/>
                </w:rPr>
                <w:t>Ruth Miskin R</w:t>
              </w:r>
              <w:r>
                <w:rPr>
                  <w:rStyle w:val="Hyperlink"/>
                  <w:szCs w:val="24"/>
                </w:rPr>
                <w:t xml:space="preserve">ead </w:t>
              </w:r>
              <w:r w:rsidRPr="008E5584">
                <w:rPr>
                  <w:rStyle w:val="Hyperlink"/>
                  <w:szCs w:val="24"/>
                </w:rPr>
                <w:t>W</w:t>
              </w:r>
              <w:r>
                <w:rPr>
                  <w:rStyle w:val="Hyperlink"/>
                  <w:szCs w:val="24"/>
                </w:rPr>
                <w:t>rite</w:t>
              </w:r>
              <w:r w:rsidRPr="008E5584">
                <w:rPr>
                  <w:rStyle w:val="Hyperlink"/>
                  <w:szCs w:val="24"/>
                </w:rPr>
                <w:t xml:space="preserve"> Inc </w:t>
              </w:r>
              <w:r>
                <w:rPr>
                  <w:rStyle w:val="Hyperlink"/>
                  <w:szCs w:val="24"/>
                </w:rPr>
                <w:t xml:space="preserve">Impact </w:t>
              </w:r>
              <w:r w:rsidRPr="008E5584">
                <w:rPr>
                  <w:rStyle w:val="Hyperlink"/>
                  <w:szCs w:val="24"/>
                </w:rPr>
                <w:t>Research</w:t>
              </w:r>
            </w:hyperlink>
          </w:p>
          <w:p w14:paraId="5FCA18E8" w14:textId="1EEC6B55" w:rsidR="00A34557" w:rsidRPr="0050141A" w:rsidRDefault="00676605" w:rsidP="00676605">
            <w:pPr>
              <w:pStyle w:val="TableRowCentered"/>
              <w:spacing w:after="120"/>
              <w:ind w:left="0"/>
              <w:jc w:val="left"/>
              <w:rPr>
                <w:color w:val="0070C0"/>
                <w:szCs w:val="24"/>
                <w:u w:val="single"/>
              </w:rPr>
            </w:pPr>
            <w:hyperlink r:id="rId34" w:history="1">
              <w:r w:rsidRPr="001E4EE6">
                <w:rPr>
                  <w:rStyle w:val="Hyperlink"/>
                </w:rPr>
                <w:t>EEF Freshstart Y5-6</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00799567" w:rsidR="00A34557" w:rsidRPr="00295351" w:rsidRDefault="00676605" w:rsidP="00A34557">
            <w:pPr>
              <w:pStyle w:val="TableRowCentered"/>
              <w:jc w:val="left"/>
              <w:rPr>
                <w:color w:val="auto"/>
                <w:szCs w:val="22"/>
              </w:rPr>
            </w:pPr>
            <w:r>
              <w:rPr>
                <w:color w:val="auto"/>
                <w:szCs w:val="22"/>
              </w:rPr>
              <w:t>3,</w:t>
            </w:r>
          </w:p>
        </w:tc>
      </w:tr>
      <w:tr w:rsidR="0050141A" w14:paraId="7796B0EB" w14:textId="77777777" w:rsidTr="00B5090B">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903E7" w14:textId="48E91656" w:rsidR="0050141A" w:rsidRPr="0050141A" w:rsidRDefault="0050141A" w:rsidP="0050141A">
            <w:pPr>
              <w:spacing w:before="60" w:after="120" w:line="240" w:lineRule="auto"/>
              <w:ind w:right="57"/>
              <w:rPr>
                <w:color w:val="auto"/>
              </w:rPr>
            </w:pPr>
            <w:r>
              <w:rPr>
                <w:color w:val="auto"/>
              </w:rPr>
              <w:t>Maths specialist teacher role in school – non-class based. Use this time to reduce class size, te</w:t>
            </w:r>
            <w:r w:rsidR="00FB3D52">
              <w:rPr>
                <w:color w:val="auto"/>
              </w:rPr>
              <w:t xml:space="preserve">am teach and deliver intervention </w:t>
            </w:r>
            <w:r w:rsidR="00E855F1">
              <w:rPr>
                <w:color w:val="auto"/>
              </w:rPr>
              <w:t>via fluency work, N</w:t>
            </w:r>
            <w:r>
              <w:rPr>
                <w:color w:val="auto"/>
              </w:rPr>
              <w:t xml:space="preserve">umicon intervention and pre-teaching. </w:t>
            </w:r>
            <w:r w:rsidR="00FB3D52">
              <w:rPr>
                <w:color w:val="auto"/>
              </w:rPr>
              <w:t>Disadvantaged</w:t>
            </w:r>
            <w:r>
              <w:rPr>
                <w:color w:val="auto"/>
              </w:rPr>
              <w:t xml:space="preserve"> </w:t>
            </w:r>
            <w:r>
              <w:rPr>
                <w:color w:val="auto"/>
              </w:rPr>
              <w:lastRenderedPageBreak/>
              <w:t xml:space="preserve">pupils involved in many </w:t>
            </w:r>
            <w:r w:rsidR="00FB3D52">
              <w:rPr>
                <w:color w:val="auto"/>
              </w:rPr>
              <w:t>of</w:t>
            </w:r>
            <w:r>
              <w:rPr>
                <w:color w:val="auto"/>
              </w:rPr>
              <w:t xml:space="preserve"> these groups.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BDF9" w14:textId="77777777" w:rsidR="00B5090B" w:rsidRDefault="00B5090B" w:rsidP="00B5090B">
            <w:pPr>
              <w:spacing w:after="0" w:line="240" w:lineRule="auto"/>
              <w:rPr>
                <w:lang w:val="en"/>
              </w:rPr>
            </w:pPr>
            <w:r w:rsidRPr="00B5090B">
              <w:rPr>
                <w:lang w:val="en"/>
              </w:rPr>
              <w:lastRenderedPageBreak/>
              <w:t>Evidence shows that if the reduction is large enough to permit the teacher to change their teaching approach when working with a smaller class (less than 20) allows for a change in teaching approach then benefits on attainment can be identified, in addition to improvements on behaviour and attitudes.</w:t>
            </w:r>
          </w:p>
          <w:p w14:paraId="2CBAB8E3" w14:textId="608FB35C" w:rsidR="001E4EE6" w:rsidRPr="00B5090B" w:rsidRDefault="001E4EE6" w:rsidP="00B5090B">
            <w:pPr>
              <w:spacing w:after="0" w:line="240" w:lineRule="auto"/>
              <w:rPr>
                <w:rStyle w:val="Hyperlink"/>
                <w:color w:val="0D0D0D"/>
                <w:u w:val="none"/>
                <w:lang w:val="en"/>
              </w:rPr>
            </w:pPr>
            <w:hyperlink r:id="rId35" w:history="1">
              <w:r>
                <w:rPr>
                  <w:rStyle w:val="Hyperlink"/>
                  <w:rFonts w:cs="Arial"/>
                </w:rPr>
                <w:t>EEF Reducing Class Size</w:t>
              </w:r>
            </w:hyperlink>
          </w:p>
          <w:p w14:paraId="7AFEC0D3" w14:textId="1C79FD64" w:rsidR="000B1F32" w:rsidRDefault="000B1F32" w:rsidP="00B5090B">
            <w:pPr>
              <w:suppressAutoHyphens w:val="0"/>
              <w:autoSpaceDN/>
              <w:spacing w:after="0" w:line="240" w:lineRule="auto"/>
              <w:ind w:right="57"/>
            </w:pPr>
            <w:r w:rsidRPr="00E27862">
              <w:rPr>
                <w:color w:val="auto"/>
              </w:rPr>
              <w:lastRenderedPageBreak/>
              <w:t xml:space="preserve">Tuition targeted at specific needs and knowledge gaps can be an effective method to support low attaining pupils or those falling </w:t>
            </w:r>
            <w:r w:rsidR="00FB3D52" w:rsidRPr="00E27862">
              <w:rPr>
                <w:color w:val="auto"/>
              </w:rPr>
              <w:t>behind</w:t>
            </w:r>
            <w:r w:rsidR="00B5090B">
              <w:rPr>
                <w:color w:val="auto"/>
              </w:rPr>
              <w:t>.</w:t>
            </w:r>
            <w:r w:rsidR="00FB3D52">
              <w:t xml:space="preserve"> </w:t>
            </w:r>
          </w:p>
          <w:p w14:paraId="57CF69CD" w14:textId="77777777" w:rsidR="00B5090B" w:rsidRPr="00E27862" w:rsidRDefault="00B5090B" w:rsidP="00B5090B">
            <w:pPr>
              <w:suppressAutoHyphens w:val="0"/>
              <w:autoSpaceDN/>
              <w:spacing w:before="60" w:after="60" w:line="240" w:lineRule="auto"/>
              <w:ind w:right="57"/>
              <w:rPr>
                <w:color w:val="auto"/>
              </w:rPr>
            </w:pPr>
            <w:hyperlink r:id="rId36" w:history="1">
              <w:r w:rsidRPr="007D7E01">
                <w:rPr>
                  <w:rStyle w:val="Hyperlink"/>
                </w:rPr>
                <w:t>EEF Small Group Tuition</w:t>
              </w:r>
            </w:hyperlink>
          </w:p>
          <w:p w14:paraId="1CA79F65" w14:textId="796EDC75" w:rsidR="00E12837" w:rsidRPr="000B1F32" w:rsidRDefault="00E12837" w:rsidP="00B5090B">
            <w:pPr>
              <w:suppressAutoHyphens w:val="0"/>
              <w:autoSpaceDN/>
              <w:spacing w:after="0" w:line="240" w:lineRule="auto"/>
              <w:ind w:right="57"/>
              <w:rPr>
                <w:color w:val="0070C0"/>
                <w:u w:val="single"/>
              </w:rPr>
            </w:pPr>
            <w:hyperlink r:id="rId37" w:history="1">
              <w:r w:rsidRPr="00E12837">
                <w:rPr>
                  <w:rStyle w:val="Hyperlink"/>
                </w:rPr>
                <w:t>Numicon Big Ideas at Bartons</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9D70" w14:textId="08011352" w:rsidR="0050141A" w:rsidRPr="00295351" w:rsidRDefault="00B5090B" w:rsidP="00A34557">
            <w:pPr>
              <w:pStyle w:val="TableRowCentered"/>
              <w:jc w:val="left"/>
              <w:rPr>
                <w:color w:val="auto"/>
                <w:szCs w:val="22"/>
              </w:rPr>
            </w:pPr>
            <w:r>
              <w:rPr>
                <w:color w:val="auto"/>
                <w:szCs w:val="22"/>
              </w:rPr>
              <w:lastRenderedPageBreak/>
              <w:t>5</w:t>
            </w:r>
          </w:p>
        </w:tc>
      </w:tr>
      <w:tr w:rsidR="00A34557" w14:paraId="19EDD9EE" w14:textId="77777777" w:rsidTr="00B5090B">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79E92A6B" w:rsidR="00A34557" w:rsidRPr="00E27862" w:rsidRDefault="00A34557" w:rsidP="000B1F32">
            <w:pPr>
              <w:pStyle w:val="TableRow"/>
              <w:spacing w:after="120"/>
              <w:rPr>
                <w:rFonts w:cs="Arial"/>
                <w:iCs/>
                <w:color w:val="auto"/>
                <w:lang w:val="en-US"/>
              </w:rPr>
            </w:pPr>
            <w:r>
              <w:rPr>
                <w:rFonts w:cs="Arial"/>
                <w:iCs/>
                <w:color w:val="auto"/>
                <w:lang w:val="en-US"/>
              </w:rPr>
              <w:t xml:space="preserve">School led </w:t>
            </w:r>
            <w:r w:rsidR="00FB3D52">
              <w:rPr>
                <w:rFonts w:cs="Arial"/>
                <w:iCs/>
                <w:color w:val="auto"/>
                <w:lang w:val="en-US"/>
              </w:rPr>
              <w:t>tutoring</w:t>
            </w:r>
            <w:r>
              <w:rPr>
                <w:rFonts w:cs="Arial"/>
                <w:iCs/>
                <w:color w:val="auto"/>
                <w:lang w:val="en-US"/>
              </w:rPr>
              <w:t xml:space="preserve"> </w:t>
            </w:r>
            <w:r w:rsidR="00FB3D52">
              <w:rPr>
                <w:rFonts w:cs="Arial"/>
                <w:iCs/>
                <w:color w:val="auto"/>
                <w:lang w:val="en-US"/>
              </w:rPr>
              <w:t>programme</w:t>
            </w:r>
            <w:r>
              <w:rPr>
                <w:rFonts w:cs="Arial"/>
                <w:iCs/>
                <w:color w:val="auto"/>
                <w:lang w:val="en-US"/>
              </w:rPr>
              <w:t xml:space="preserve"> in </w:t>
            </w:r>
            <w:r w:rsidR="00FB3D52">
              <w:rPr>
                <w:rFonts w:cs="Arial"/>
                <w:iCs/>
                <w:color w:val="auto"/>
                <w:lang w:val="en-US"/>
              </w:rPr>
              <w:t>place</w:t>
            </w:r>
            <w:r>
              <w:rPr>
                <w:rFonts w:cs="Arial"/>
                <w:iCs/>
                <w:color w:val="auto"/>
                <w:lang w:val="en-US"/>
              </w:rPr>
              <w:t xml:space="preserve"> for </w:t>
            </w:r>
            <w:r w:rsidR="000B1F32">
              <w:rPr>
                <w:rFonts w:cs="Arial"/>
                <w:iCs/>
                <w:color w:val="auto"/>
                <w:lang w:val="en-US"/>
              </w:rPr>
              <w:t xml:space="preserve">January </w:t>
            </w:r>
            <w:r w:rsidR="00B5090B">
              <w:rPr>
                <w:rFonts w:cs="Arial"/>
                <w:iCs/>
                <w:color w:val="auto"/>
                <w:lang w:val="en-US"/>
              </w:rPr>
              <w:t xml:space="preserve">2022 </w:t>
            </w:r>
            <w:r w:rsidRPr="00E27862">
              <w:rPr>
                <w:rFonts w:cs="Arial"/>
                <w:iCs/>
                <w:color w:val="auto"/>
                <w:lang w:val="en-US"/>
              </w:rPr>
              <w:t>to provide for pupils whose education has been most impacted by the pandemic. A significant proportion of the pupils who receive tutoring will be disadvantaged, includi</w:t>
            </w:r>
            <w:r w:rsidR="000B1F32">
              <w:rPr>
                <w:rFonts w:cs="Arial"/>
                <w:iCs/>
                <w:color w:val="auto"/>
                <w:lang w:val="en-US"/>
              </w:rPr>
              <w:t>ng those who are high attainers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D3B" w14:textId="7F62D384" w:rsidR="00A34557" w:rsidRDefault="00B5090B" w:rsidP="00B5090B">
            <w:pPr>
              <w:suppressAutoHyphens w:val="0"/>
              <w:autoSpaceDN/>
              <w:spacing w:before="60" w:after="60" w:line="240" w:lineRule="auto"/>
              <w:ind w:left="35" w:right="57"/>
              <w:rPr>
                <w:color w:val="auto"/>
              </w:rPr>
            </w:pPr>
            <w:r>
              <w:rPr>
                <w:color w:val="auto"/>
              </w:rPr>
              <w:t>Small group t</w:t>
            </w:r>
            <w:r w:rsidR="00A34557" w:rsidRPr="00E27862">
              <w:rPr>
                <w:color w:val="auto"/>
              </w:rPr>
              <w:t xml:space="preserve">uition targeted at specific needs and knowledge gaps can be an effective method to support low attaining pupils or those </w:t>
            </w:r>
            <w:r w:rsidR="007D7E01">
              <w:rPr>
                <w:color w:val="auto"/>
              </w:rPr>
              <w:t>falling behind</w:t>
            </w:r>
            <w:r>
              <w:rPr>
                <w:color w:val="auto"/>
              </w:rPr>
              <w:t>.</w:t>
            </w:r>
          </w:p>
          <w:p w14:paraId="36B2AFD7" w14:textId="0599B78A" w:rsidR="007D7E01" w:rsidRPr="00E27862" w:rsidRDefault="007D7E01" w:rsidP="00B5090B">
            <w:pPr>
              <w:suppressAutoHyphens w:val="0"/>
              <w:autoSpaceDN/>
              <w:spacing w:before="60" w:after="60" w:line="240" w:lineRule="auto"/>
              <w:ind w:right="57"/>
              <w:rPr>
                <w:color w:val="auto"/>
              </w:rPr>
            </w:pPr>
            <w:hyperlink r:id="rId38" w:history="1">
              <w:r w:rsidRPr="007D7E01">
                <w:rPr>
                  <w:rStyle w:val="Hyperlink"/>
                </w:rPr>
                <w:t>EEF Small Group Tuition</w:t>
              </w:r>
            </w:hyperlink>
          </w:p>
          <w:p w14:paraId="7E164B51" w14:textId="501C6065" w:rsidR="001E4EE6" w:rsidRPr="000B1F32" w:rsidRDefault="001E4EE6" w:rsidP="00676605">
            <w:pPr>
              <w:suppressAutoHyphens w:val="0"/>
              <w:autoSpaceDN/>
              <w:spacing w:before="60" w:after="120" w:line="240" w:lineRule="auto"/>
              <w:ind w:right="57"/>
              <w:rPr>
                <w:color w:val="0070C0"/>
                <w:u w:val="single"/>
              </w:rPr>
            </w:pPr>
            <w:hyperlink r:id="rId39" w:history="1">
              <w:r w:rsidRPr="001E4EE6">
                <w:rPr>
                  <w:rStyle w:val="Hyperlink"/>
                </w:rPr>
                <w:t>EEF Freshstart Y5-6</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1806CFE3" w:rsidR="00A34557" w:rsidRPr="00295351" w:rsidRDefault="00B5090B" w:rsidP="00A34557">
            <w:pPr>
              <w:pStyle w:val="TableRowCentered"/>
              <w:jc w:val="left"/>
              <w:rPr>
                <w:color w:val="auto"/>
                <w:szCs w:val="22"/>
              </w:rPr>
            </w:pPr>
            <w:r>
              <w:rPr>
                <w:color w:val="auto"/>
                <w:szCs w:val="22"/>
              </w:rPr>
              <w:t>3,4,5</w:t>
            </w:r>
          </w:p>
        </w:tc>
      </w:tr>
    </w:tbl>
    <w:p w14:paraId="2A7D5532" w14:textId="1303E7E9" w:rsidR="00E66558" w:rsidRDefault="009D71E8" w:rsidP="00B20B8A">
      <w:pPr>
        <w:spacing w:before="480"/>
        <w:rPr>
          <w:b/>
          <w:color w:val="104F75"/>
          <w:sz w:val="28"/>
          <w:szCs w:val="28"/>
        </w:rPr>
      </w:pPr>
      <w:r>
        <w:rPr>
          <w:b/>
          <w:color w:val="104F75"/>
          <w:sz w:val="28"/>
          <w:szCs w:val="28"/>
        </w:rPr>
        <w:t xml:space="preserve">Wider strategies </w:t>
      </w:r>
    </w:p>
    <w:p w14:paraId="3B774F18" w14:textId="68FB528B" w:rsidR="009F4EBA" w:rsidRPr="00A34557" w:rsidRDefault="009D71E8" w:rsidP="00877501">
      <w:pPr>
        <w:spacing w:before="240"/>
        <w:rPr>
          <w:b/>
          <w:bCs/>
          <w:color w:val="auto"/>
        </w:rPr>
      </w:pPr>
      <w:r>
        <w:t xml:space="preserve">Budgeted cost: </w:t>
      </w:r>
      <w:r w:rsidRPr="00E27862">
        <w:rPr>
          <w:b/>
          <w:bCs/>
          <w:color w:val="auto"/>
        </w:rPr>
        <w:t>£</w:t>
      </w:r>
      <w:r w:rsidR="00F954EC">
        <w:rPr>
          <w:b/>
          <w:bCs/>
          <w:color w:val="auto"/>
        </w:rPr>
        <w:t>2</w:t>
      </w:r>
      <w:r w:rsidR="000B11E5">
        <w:rPr>
          <w:b/>
          <w:bCs/>
          <w:color w:val="auto"/>
        </w:rPr>
        <w:t>,000</w:t>
      </w:r>
    </w:p>
    <w:tbl>
      <w:tblPr>
        <w:tblW w:w="5512" w:type="pct"/>
        <w:tblLayout w:type="fixed"/>
        <w:tblCellMar>
          <w:left w:w="10" w:type="dxa"/>
          <w:right w:w="10" w:type="dxa"/>
        </w:tblCellMar>
        <w:tblLook w:val="04A0" w:firstRow="1" w:lastRow="0" w:firstColumn="1" w:lastColumn="0" w:noHBand="0" w:noVBand="1"/>
      </w:tblPr>
      <w:tblGrid>
        <w:gridCol w:w="3256"/>
        <w:gridCol w:w="5670"/>
        <w:gridCol w:w="1531"/>
      </w:tblGrid>
      <w:tr w:rsidR="00E66558" w14:paraId="2A7D5537" w14:textId="77777777" w:rsidTr="000B1F32">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A172FB" w14:paraId="59C73498" w14:textId="77777777" w:rsidTr="000B1F3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7CAF" w14:textId="66F752E7" w:rsidR="000B1F32" w:rsidRDefault="009C4D98" w:rsidP="00B5090B">
            <w:pPr>
              <w:pStyle w:val="TableRow"/>
              <w:spacing w:after="0"/>
              <w:ind w:left="29"/>
              <w:rPr>
                <w:iCs/>
                <w:color w:val="auto"/>
                <w:szCs w:val="28"/>
                <w:lang w:val="en-US"/>
              </w:rPr>
            </w:pPr>
            <w:r w:rsidRPr="00E27862">
              <w:rPr>
                <w:iCs/>
                <w:color w:val="auto"/>
                <w:szCs w:val="28"/>
                <w:lang w:val="en-US"/>
              </w:rPr>
              <w:t>Whole staff training</w:t>
            </w:r>
            <w:r w:rsidR="00F5076A" w:rsidRPr="00E27862">
              <w:rPr>
                <w:iCs/>
                <w:color w:val="auto"/>
                <w:szCs w:val="28"/>
                <w:lang w:val="en-US"/>
              </w:rPr>
              <w:t xml:space="preserve"> o</w:t>
            </w:r>
            <w:r w:rsidR="000B1F32">
              <w:rPr>
                <w:iCs/>
                <w:color w:val="auto"/>
                <w:szCs w:val="28"/>
                <w:lang w:val="en-US"/>
              </w:rPr>
              <w:t>n:</w:t>
            </w:r>
          </w:p>
          <w:p w14:paraId="6AA742B5" w14:textId="68562E55" w:rsidR="00E1796E" w:rsidRDefault="00B5090B" w:rsidP="000B1F32">
            <w:pPr>
              <w:pStyle w:val="TableRow"/>
              <w:numPr>
                <w:ilvl w:val="0"/>
                <w:numId w:val="32"/>
              </w:numPr>
              <w:tabs>
                <w:tab w:val="left" w:pos="450"/>
              </w:tabs>
              <w:spacing w:after="0"/>
              <w:ind w:left="447"/>
              <w:rPr>
                <w:iCs/>
                <w:color w:val="auto"/>
                <w:szCs w:val="28"/>
                <w:lang w:val="en-US"/>
              </w:rPr>
            </w:pPr>
            <w:r>
              <w:rPr>
                <w:iCs/>
                <w:color w:val="auto"/>
                <w:szCs w:val="28"/>
                <w:lang w:val="en-US"/>
              </w:rPr>
              <w:t>Tr</w:t>
            </w:r>
            <w:r w:rsidR="00FB3D52">
              <w:rPr>
                <w:iCs/>
                <w:color w:val="auto"/>
                <w:szCs w:val="28"/>
                <w:lang w:val="en-US"/>
              </w:rPr>
              <w:t>auma</w:t>
            </w:r>
            <w:r w:rsidR="00E1796E">
              <w:rPr>
                <w:iCs/>
                <w:color w:val="auto"/>
                <w:szCs w:val="28"/>
                <w:lang w:val="en-US"/>
              </w:rPr>
              <w:t xml:space="preserve"> informed </w:t>
            </w:r>
            <w:r>
              <w:rPr>
                <w:iCs/>
                <w:color w:val="auto"/>
                <w:szCs w:val="28"/>
                <w:lang w:val="en-US"/>
              </w:rPr>
              <w:t>practice</w:t>
            </w:r>
          </w:p>
          <w:p w14:paraId="3274F34A" w14:textId="07906141" w:rsidR="000B1F32" w:rsidRDefault="00FB3D52" w:rsidP="000B1F32">
            <w:pPr>
              <w:pStyle w:val="TableRow"/>
              <w:numPr>
                <w:ilvl w:val="0"/>
                <w:numId w:val="32"/>
              </w:numPr>
              <w:tabs>
                <w:tab w:val="left" w:pos="450"/>
              </w:tabs>
              <w:spacing w:after="0"/>
              <w:ind w:left="447"/>
              <w:rPr>
                <w:iCs/>
                <w:color w:val="auto"/>
                <w:szCs w:val="28"/>
                <w:lang w:val="en-US"/>
              </w:rPr>
            </w:pPr>
            <w:r>
              <w:rPr>
                <w:iCs/>
                <w:color w:val="auto"/>
                <w:szCs w:val="28"/>
                <w:lang w:val="en-US"/>
              </w:rPr>
              <w:t>Attachment</w:t>
            </w:r>
            <w:r w:rsidR="000B1F32">
              <w:rPr>
                <w:iCs/>
                <w:color w:val="auto"/>
                <w:szCs w:val="28"/>
                <w:lang w:val="en-US"/>
              </w:rPr>
              <w:t>/ACE</w:t>
            </w:r>
          </w:p>
          <w:p w14:paraId="7B353FF3" w14:textId="16788DE8" w:rsidR="00E1796E" w:rsidRDefault="000B1F32" w:rsidP="000B1F32">
            <w:pPr>
              <w:pStyle w:val="TableRow"/>
              <w:numPr>
                <w:ilvl w:val="0"/>
                <w:numId w:val="32"/>
              </w:numPr>
              <w:tabs>
                <w:tab w:val="left" w:pos="450"/>
              </w:tabs>
              <w:spacing w:after="0"/>
              <w:ind w:left="447"/>
              <w:rPr>
                <w:iCs/>
                <w:color w:val="auto"/>
                <w:szCs w:val="28"/>
                <w:lang w:val="en-US"/>
              </w:rPr>
            </w:pPr>
            <w:r>
              <w:rPr>
                <w:iCs/>
                <w:color w:val="auto"/>
                <w:szCs w:val="28"/>
                <w:lang w:val="en-US"/>
              </w:rPr>
              <w:t>Executive functioning.</w:t>
            </w:r>
            <w:r w:rsidR="00E1796E">
              <w:rPr>
                <w:iCs/>
                <w:color w:val="auto"/>
                <w:szCs w:val="28"/>
                <w:lang w:val="en-US"/>
              </w:rPr>
              <w:t xml:space="preserve"> </w:t>
            </w:r>
          </w:p>
          <w:p w14:paraId="1197C5CF" w14:textId="3F350EBD" w:rsidR="0025202A" w:rsidRDefault="000B1F32" w:rsidP="000B1F32">
            <w:pPr>
              <w:pStyle w:val="TableRow"/>
              <w:spacing w:after="0"/>
              <w:ind w:left="29"/>
              <w:rPr>
                <w:iCs/>
                <w:color w:val="auto"/>
                <w:szCs w:val="28"/>
                <w:lang w:val="en-US"/>
              </w:rPr>
            </w:pPr>
            <w:r>
              <w:rPr>
                <w:iCs/>
                <w:color w:val="auto"/>
                <w:szCs w:val="28"/>
                <w:lang w:val="en-US"/>
              </w:rPr>
              <w:t xml:space="preserve">RSHE developed and </w:t>
            </w:r>
            <w:r w:rsidR="0025202A">
              <w:rPr>
                <w:iCs/>
                <w:color w:val="auto"/>
                <w:szCs w:val="28"/>
                <w:lang w:val="en-US"/>
              </w:rPr>
              <w:t xml:space="preserve">emotional health and </w:t>
            </w:r>
            <w:r w:rsidR="00FB3D52">
              <w:rPr>
                <w:iCs/>
                <w:color w:val="auto"/>
                <w:szCs w:val="28"/>
                <w:lang w:val="en-US"/>
              </w:rPr>
              <w:t>wellbeing</w:t>
            </w:r>
            <w:r w:rsidR="0025202A">
              <w:rPr>
                <w:iCs/>
                <w:color w:val="auto"/>
                <w:szCs w:val="28"/>
                <w:lang w:val="en-US"/>
              </w:rPr>
              <w:t xml:space="preserve"> a priority. </w:t>
            </w:r>
          </w:p>
          <w:p w14:paraId="4E58354A" w14:textId="6094FDA0" w:rsidR="000B1F32" w:rsidRDefault="0025202A" w:rsidP="000B1F32">
            <w:pPr>
              <w:pStyle w:val="TableRow"/>
              <w:spacing w:after="0"/>
              <w:ind w:left="29"/>
              <w:rPr>
                <w:iCs/>
                <w:color w:val="auto"/>
                <w:szCs w:val="28"/>
                <w:lang w:val="en-US"/>
              </w:rPr>
            </w:pPr>
            <w:r>
              <w:rPr>
                <w:iCs/>
                <w:color w:val="auto"/>
                <w:szCs w:val="28"/>
                <w:lang w:val="en-US"/>
              </w:rPr>
              <w:t>E</w:t>
            </w:r>
            <w:r w:rsidR="000B1F32">
              <w:rPr>
                <w:iCs/>
                <w:color w:val="auto"/>
                <w:szCs w:val="28"/>
                <w:lang w:val="en-US"/>
              </w:rPr>
              <w:t xml:space="preserve">mbed whole school approach for mental health. </w:t>
            </w:r>
          </w:p>
          <w:p w14:paraId="7A957210" w14:textId="379007DB" w:rsidR="005C1998" w:rsidRPr="00E27862" w:rsidRDefault="000B1F32" w:rsidP="00B5090B">
            <w:pPr>
              <w:pStyle w:val="TableRow"/>
              <w:spacing w:after="0"/>
              <w:ind w:left="29"/>
              <w:rPr>
                <w:iCs/>
                <w:color w:val="auto"/>
                <w:szCs w:val="28"/>
                <w:lang w:val="en-US"/>
              </w:rPr>
            </w:pPr>
            <w:r>
              <w:rPr>
                <w:iCs/>
                <w:color w:val="auto"/>
                <w:szCs w:val="28"/>
                <w:lang w:val="en-US"/>
              </w:rPr>
              <w:t xml:space="preserve">To develop quiet low stimulus </w:t>
            </w:r>
            <w:r w:rsidR="00B5090B">
              <w:rPr>
                <w:iCs/>
                <w:color w:val="auto"/>
                <w:szCs w:val="28"/>
                <w:lang w:val="en-US"/>
              </w:rPr>
              <w:t>environment t</w:t>
            </w:r>
            <w:r>
              <w:rPr>
                <w:iCs/>
                <w:color w:val="auto"/>
                <w:szCs w:val="28"/>
                <w:lang w:val="en-US"/>
              </w:rPr>
              <w:t xml:space="preserve">o </w:t>
            </w:r>
            <w:r w:rsidR="00B5090B">
              <w:rPr>
                <w:iCs/>
                <w:color w:val="auto"/>
                <w:szCs w:val="28"/>
                <w:lang w:val="en-US"/>
              </w:rPr>
              <w:t xml:space="preserve">enable pupils to be </w:t>
            </w:r>
            <w:r>
              <w:rPr>
                <w:iCs/>
                <w:color w:val="auto"/>
                <w:szCs w:val="28"/>
                <w:lang w:val="en-US"/>
              </w:rPr>
              <w:t>prepare</w:t>
            </w:r>
            <w:r w:rsidR="00B5090B">
              <w:rPr>
                <w:iCs/>
                <w:color w:val="auto"/>
                <w:szCs w:val="28"/>
                <w:lang w:val="en-US"/>
              </w:rPr>
              <w:t>d</w:t>
            </w:r>
            <w:r>
              <w:rPr>
                <w:iCs/>
                <w:color w:val="auto"/>
                <w:szCs w:val="28"/>
                <w:lang w:val="en-US"/>
              </w:rPr>
              <w:t xml:space="preserve"> to </w:t>
            </w:r>
            <w:r w:rsidR="00FB3D52">
              <w:rPr>
                <w:iCs/>
                <w:color w:val="auto"/>
                <w:szCs w:val="28"/>
                <w:lang w:val="en-US"/>
              </w:rPr>
              <w:t>learn and</w:t>
            </w:r>
            <w:r>
              <w:rPr>
                <w:iCs/>
                <w:color w:val="auto"/>
                <w:szCs w:val="28"/>
                <w:lang w:val="en-US"/>
              </w:rPr>
              <w:t xml:space="preserve"> </w:t>
            </w:r>
            <w:r w:rsidR="00FB3D52">
              <w:rPr>
                <w:iCs/>
                <w:color w:val="auto"/>
                <w:szCs w:val="28"/>
                <w:lang w:val="en-US"/>
              </w:rPr>
              <w:t>self-regulate</w:t>
            </w:r>
            <w:r>
              <w:rPr>
                <w:iCs/>
                <w:color w:val="auto"/>
                <w:szCs w:val="28"/>
                <w:lang w:val="en-US"/>
              </w:rPr>
              <w:t>.  (</w:t>
            </w:r>
            <w:r w:rsidR="00FB3D52">
              <w:rPr>
                <w:iCs/>
                <w:color w:val="auto"/>
                <w:szCs w:val="28"/>
                <w:lang w:val="en-US"/>
              </w:rPr>
              <w:t>Develop</w:t>
            </w:r>
            <w:r w:rsidR="00B5090B">
              <w:rPr>
                <w:iCs/>
                <w:color w:val="auto"/>
                <w:szCs w:val="28"/>
                <w:lang w:val="en-US"/>
              </w:rPr>
              <w:t xml:space="preserve">ment </w:t>
            </w:r>
            <w:r>
              <w:rPr>
                <w:iCs/>
                <w:color w:val="auto"/>
                <w:szCs w:val="28"/>
                <w:lang w:val="en-US"/>
              </w:rPr>
              <w:t xml:space="preserve"> of SEND sensory areas and outside gardens and space not through PPG </w:t>
            </w:r>
            <w:r w:rsidR="00FB3D52">
              <w:rPr>
                <w:iCs/>
                <w:color w:val="auto"/>
                <w:szCs w:val="28"/>
                <w:lang w:val="en-US"/>
              </w:rPr>
              <w:t>funding</w:t>
            </w:r>
            <w:r w:rsidR="00B5090B">
              <w:rPr>
                <w:iCs/>
                <w:color w:val="auto"/>
                <w:szCs w:val="28"/>
                <w:lang w:val="en-US"/>
              </w:rPr>
              <w:t xml:space="preserve">) </w:t>
            </w:r>
            <w:r>
              <w:rPr>
                <w:iCs/>
                <w:color w:val="auto"/>
                <w:szCs w:val="28"/>
                <w:lang w:val="en-US"/>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D2C6" w14:textId="086F6E28" w:rsidR="00E1796E" w:rsidRPr="00B5090B" w:rsidRDefault="00E1796E" w:rsidP="000B1F32">
            <w:pPr>
              <w:pStyle w:val="TableRowCentered"/>
              <w:spacing w:after="0"/>
              <w:jc w:val="left"/>
              <w:rPr>
                <w:color w:val="auto"/>
                <w:szCs w:val="24"/>
              </w:rPr>
            </w:pPr>
            <w:r w:rsidRPr="00B5090B">
              <w:rPr>
                <w:color w:val="auto"/>
                <w:szCs w:val="24"/>
              </w:rPr>
              <w:t xml:space="preserve">Evidence that </w:t>
            </w:r>
            <w:r w:rsidR="00FB3D52" w:rsidRPr="00B5090B">
              <w:rPr>
                <w:color w:val="auto"/>
                <w:szCs w:val="24"/>
              </w:rPr>
              <w:t>appropriately</w:t>
            </w:r>
            <w:r w:rsidRPr="00B5090B">
              <w:rPr>
                <w:color w:val="auto"/>
                <w:szCs w:val="24"/>
              </w:rPr>
              <w:t xml:space="preserve"> trained and supported staff, </w:t>
            </w:r>
            <w:r w:rsidR="00FB3D52" w:rsidRPr="00B5090B">
              <w:rPr>
                <w:color w:val="auto"/>
                <w:szCs w:val="24"/>
              </w:rPr>
              <w:t>teachers and TAs</w:t>
            </w:r>
            <w:r w:rsidRPr="00B5090B">
              <w:rPr>
                <w:color w:val="auto"/>
                <w:szCs w:val="24"/>
              </w:rPr>
              <w:t xml:space="preserve"> can achieve results </w:t>
            </w:r>
            <w:r w:rsidR="00FB3D52" w:rsidRPr="00B5090B">
              <w:rPr>
                <w:color w:val="auto"/>
                <w:szCs w:val="24"/>
              </w:rPr>
              <w:t>with</w:t>
            </w:r>
            <w:r w:rsidRPr="00B5090B">
              <w:rPr>
                <w:color w:val="auto"/>
                <w:szCs w:val="24"/>
              </w:rPr>
              <w:t xml:space="preserve"> </w:t>
            </w:r>
            <w:r w:rsidR="00FB3D52" w:rsidRPr="00B5090B">
              <w:rPr>
                <w:color w:val="auto"/>
                <w:szCs w:val="24"/>
              </w:rPr>
              <w:t>mild to moderate mental health</w:t>
            </w:r>
            <w:r w:rsidRPr="00B5090B">
              <w:rPr>
                <w:color w:val="auto"/>
                <w:szCs w:val="24"/>
              </w:rPr>
              <w:t xml:space="preserve"> problems. </w:t>
            </w:r>
          </w:p>
          <w:p w14:paraId="77E59488" w14:textId="1801DDA4" w:rsidR="00E1796E" w:rsidRDefault="005C1998" w:rsidP="000B1F32">
            <w:pPr>
              <w:pStyle w:val="TableRowCentered"/>
              <w:spacing w:after="0"/>
              <w:jc w:val="left"/>
              <w:rPr>
                <w:color w:val="0070C0"/>
                <w:szCs w:val="24"/>
                <w:u w:val="single"/>
              </w:rPr>
            </w:pPr>
            <w:hyperlink r:id="rId40" w:history="1">
              <w:r w:rsidRPr="001351C2">
                <w:rPr>
                  <w:rStyle w:val="Hyperlink"/>
                  <w:szCs w:val="24"/>
                </w:rPr>
                <w:t>https://traumainformedschools.co.uk/</w:t>
              </w:r>
            </w:hyperlink>
            <w:r w:rsidR="00E1796E">
              <w:rPr>
                <w:color w:val="0070C0"/>
                <w:szCs w:val="24"/>
                <w:u w:val="single"/>
              </w:rPr>
              <w:t xml:space="preserve"> </w:t>
            </w:r>
          </w:p>
          <w:p w14:paraId="5C7A6EBD" w14:textId="77777777" w:rsidR="00B5090B" w:rsidRDefault="00B5090B" w:rsidP="00B5090B">
            <w:pPr>
              <w:pStyle w:val="TableRowCentered"/>
              <w:spacing w:after="0"/>
              <w:ind w:left="0"/>
              <w:jc w:val="left"/>
              <w:rPr>
                <w:color w:val="auto"/>
                <w:highlight w:val="yellow"/>
              </w:rPr>
            </w:pPr>
          </w:p>
          <w:p w14:paraId="64C277DA" w14:textId="505C75AA" w:rsidR="009F4EBA" w:rsidRDefault="009F4EBA" w:rsidP="00B5090B">
            <w:pPr>
              <w:pStyle w:val="TableRowCentered"/>
              <w:spacing w:after="0"/>
              <w:ind w:left="0"/>
              <w:jc w:val="left"/>
              <w:rPr>
                <w:color w:val="auto"/>
              </w:rPr>
            </w:pPr>
            <w:r w:rsidRPr="00B5090B">
              <w:rPr>
                <w:color w:val="auto"/>
              </w:rPr>
              <w:t xml:space="preserve">The training we have selected will focus on the </w:t>
            </w:r>
            <w:r w:rsidR="00B5090B">
              <w:rPr>
                <w:color w:val="auto"/>
              </w:rPr>
              <w:t xml:space="preserve">staff CPD </w:t>
            </w:r>
            <w:r w:rsidRPr="00B5090B">
              <w:rPr>
                <w:color w:val="auto"/>
              </w:rPr>
              <w:t>needs identified through the online tool: to develop our understanding of our pupils’ needs, give pupils a voice in how we address wellbeing, and support more effective collaboration with parents.</w:t>
            </w:r>
          </w:p>
          <w:p w14:paraId="061AE0BD" w14:textId="5F345611" w:rsidR="00B5090B" w:rsidRPr="00B5090B" w:rsidRDefault="00B5090B" w:rsidP="00B5090B">
            <w:pPr>
              <w:pStyle w:val="TableRowCentered"/>
              <w:spacing w:after="0"/>
              <w:ind w:left="0"/>
              <w:jc w:val="left"/>
              <w:rPr>
                <w:color w:val="auto"/>
              </w:rPr>
            </w:pPr>
            <w:hyperlink r:id="rId41" w:history="1">
              <w:r w:rsidRPr="00B5090B">
                <w:rPr>
                  <w:rStyle w:val="Hyperlink"/>
                </w:rPr>
                <w:t>DfE SMHL training</w:t>
              </w:r>
            </w:hyperlink>
          </w:p>
          <w:p w14:paraId="5245D0FD" w14:textId="6A7901F6" w:rsidR="00B5090B" w:rsidRPr="000B1F32" w:rsidRDefault="00B5090B" w:rsidP="00B5090B">
            <w:pPr>
              <w:pStyle w:val="TableRowCentered"/>
              <w:spacing w:after="0"/>
              <w:ind w:left="0"/>
              <w:jc w:val="left"/>
              <w:rPr>
                <w:color w:val="0070C0"/>
                <w:szCs w:val="24"/>
                <w:u w:val="single"/>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5B1082C9" w:rsidR="00A172FB" w:rsidRPr="00E27862" w:rsidRDefault="00B5090B" w:rsidP="000B1F32">
            <w:pPr>
              <w:pStyle w:val="TableRowCentered"/>
              <w:spacing w:after="0"/>
              <w:jc w:val="left"/>
              <w:rPr>
                <w:color w:val="auto"/>
                <w:sz w:val="22"/>
              </w:rPr>
            </w:pPr>
            <w:r>
              <w:rPr>
                <w:color w:val="auto"/>
                <w:sz w:val="22"/>
              </w:rPr>
              <w:t>1,2,3,4,5,6</w:t>
            </w:r>
          </w:p>
        </w:tc>
      </w:tr>
      <w:tr w:rsidR="005C1998" w14:paraId="68712116" w14:textId="77777777" w:rsidTr="000B1F3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C102A" w14:textId="2739A637" w:rsidR="005C1998" w:rsidRPr="00E27862" w:rsidRDefault="005C1998" w:rsidP="0025202A">
            <w:pPr>
              <w:pStyle w:val="TableRow"/>
              <w:spacing w:after="0"/>
              <w:ind w:left="29"/>
              <w:rPr>
                <w:iCs/>
                <w:color w:val="auto"/>
                <w:szCs w:val="28"/>
                <w:lang w:val="en-US"/>
              </w:rPr>
            </w:pPr>
            <w:r>
              <w:rPr>
                <w:iCs/>
                <w:color w:val="auto"/>
                <w:szCs w:val="28"/>
                <w:lang w:val="en-US"/>
              </w:rPr>
              <w:t xml:space="preserve">To ensure subsidized experiences enhance academic learning, create </w:t>
            </w:r>
            <w:r w:rsidR="00FB3D52">
              <w:rPr>
                <w:iCs/>
                <w:color w:val="auto"/>
                <w:szCs w:val="28"/>
                <w:lang w:val="en-US"/>
              </w:rPr>
              <w:t>opportunities</w:t>
            </w:r>
            <w:r>
              <w:rPr>
                <w:iCs/>
                <w:color w:val="auto"/>
                <w:szCs w:val="28"/>
                <w:lang w:val="en-US"/>
              </w:rPr>
              <w:t xml:space="preserve"> to develop </w:t>
            </w:r>
            <w:r w:rsidR="00FB3D52">
              <w:rPr>
                <w:iCs/>
                <w:color w:val="auto"/>
                <w:szCs w:val="28"/>
                <w:lang w:val="en-US"/>
              </w:rPr>
              <w:t>aspiration</w:t>
            </w:r>
            <w:r>
              <w:rPr>
                <w:iCs/>
                <w:color w:val="auto"/>
                <w:szCs w:val="28"/>
                <w:lang w:val="en-US"/>
              </w:rPr>
              <w:t xml:space="preserve"> and give children opportunities to excel in </w:t>
            </w:r>
            <w:r>
              <w:rPr>
                <w:iCs/>
                <w:color w:val="auto"/>
                <w:szCs w:val="28"/>
                <w:lang w:val="en-US"/>
              </w:rPr>
              <w:lastRenderedPageBreak/>
              <w:t xml:space="preserve">area they might not otherwise have access to.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B5F5" w14:textId="185C220E" w:rsidR="009F4EBA" w:rsidRPr="000B1F32" w:rsidRDefault="00FB3D52" w:rsidP="000B1F32">
            <w:pPr>
              <w:pStyle w:val="TableRowCentered"/>
              <w:spacing w:after="0"/>
              <w:ind w:left="32"/>
              <w:jc w:val="left"/>
              <w:rPr>
                <w:color w:val="auto"/>
              </w:rPr>
            </w:pPr>
            <w:r w:rsidRPr="00B5090B">
              <w:rPr>
                <w:rFonts w:cs="Arial"/>
                <w:iCs/>
                <w:color w:val="auto"/>
                <w:lang w:eastAsia="en-US"/>
              </w:rPr>
              <w:lastRenderedPageBreak/>
              <w:t>Offering</w:t>
            </w:r>
            <w:r w:rsidR="009F4EBA" w:rsidRPr="00B5090B">
              <w:rPr>
                <w:rFonts w:cs="Arial"/>
                <w:iCs/>
                <w:color w:val="auto"/>
                <w:lang w:eastAsia="en-US"/>
              </w:rPr>
              <w:t xml:space="preserve"> a wide range of high-quality extracurricular activities to boost wellbeing, behaviour, attendance, and aspiration. Activities will focus on building life skills such as confidence, resilience, and socialising. Disadvantaged pupils will be encouraged and supported to participate.</w:t>
            </w:r>
          </w:p>
          <w:p w14:paraId="06E4E85D" w14:textId="5AA1F264" w:rsidR="00426115" w:rsidRPr="00E27862" w:rsidRDefault="00B5090B" w:rsidP="000B1F32">
            <w:pPr>
              <w:pStyle w:val="TableRowCentered"/>
              <w:spacing w:after="0"/>
              <w:ind w:left="0"/>
              <w:jc w:val="left"/>
              <w:rPr>
                <w:color w:val="auto"/>
              </w:rPr>
            </w:pPr>
            <w:hyperlink r:id="rId42" w:history="1">
              <w:r w:rsidRPr="00B5090B">
                <w:rPr>
                  <w:rStyle w:val="Hyperlink"/>
                </w:rPr>
                <w:t>EEF Life Skills and Enrichment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E7BE" w14:textId="4E8957B3" w:rsidR="005C1998" w:rsidRPr="00E27862" w:rsidRDefault="00B5090B" w:rsidP="000B1F32">
            <w:pPr>
              <w:pStyle w:val="TableRowCentered"/>
              <w:spacing w:after="0"/>
              <w:jc w:val="left"/>
              <w:rPr>
                <w:color w:val="auto"/>
                <w:sz w:val="22"/>
              </w:rPr>
            </w:pPr>
            <w:r>
              <w:rPr>
                <w:color w:val="auto"/>
                <w:sz w:val="22"/>
              </w:rPr>
              <w:lastRenderedPageBreak/>
              <w:t>1,2,3,4,5,6</w:t>
            </w:r>
          </w:p>
        </w:tc>
      </w:tr>
      <w:tr w:rsidR="004C2DBA" w:rsidRPr="00380251" w14:paraId="37A514BF" w14:textId="77777777" w:rsidTr="000B1F3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183B" w14:textId="760DA05E" w:rsidR="004C2DBA" w:rsidRPr="00E27862" w:rsidRDefault="004C2DBA" w:rsidP="0025202A">
            <w:pPr>
              <w:pStyle w:val="TableRow"/>
              <w:spacing w:after="120"/>
              <w:ind w:left="29"/>
              <w:rPr>
                <w:iCs/>
                <w:color w:val="auto"/>
                <w:szCs w:val="28"/>
                <w:lang w:val="en-US"/>
              </w:rPr>
            </w:pPr>
            <w:r w:rsidRPr="00E27862">
              <w:rPr>
                <w:iCs/>
                <w:color w:val="auto"/>
                <w:szCs w:val="28"/>
                <w:lang w:val="en-US"/>
              </w:rPr>
              <w:t xml:space="preserve">Embedding principles </w:t>
            </w:r>
            <w:r w:rsidR="00EC1F8C" w:rsidRPr="00E27862">
              <w:rPr>
                <w:iCs/>
                <w:color w:val="auto"/>
                <w:szCs w:val="28"/>
                <w:lang w:val="en-US"/>
              </w:rPr>
              <w:t xml:space="preserve">of </w:t>
            </w:r>
            <w:r w:rsidR="006C46F8" w:rsidRPr="00E27862">
              <w:rPr>
                <w:iCs/>
                <w:color w:val="auto"/>
                <w:szCs w:val="28"/>
                <w:lang w:val="en-US"/>
              </w:rPr>
              <w:t xml:space="preserve">good practice </w:t>
            </w:r>
            <w:r w:rsidR="000B1F32">
              <w:rPr>
                <w:iCs/>
                <w:color w:val="auto"/>
                <w:szCs w:val="28"/>
                <w:lang w:val="en-US"/>
              </w:rPr>
              <w:t xml:space="preserve">for attendance </w:t>
            </w:r>
            <w:r w:rsidR="006C46F8" w:rsidRPr="00E27862">
              <w:rPr>
                <w:iCs/>
                <w:color w:val="auto"/>
                <w:szCs w:val="28"/>
                <w:lang w:val="en-US"/>
              </w:rPr>
              <w:t>set out</w:t>
            </w:r>
            <w:r w:rsidRPr="00E27862">
              <w:rPr>
                <w:iCs/>
                <w:color w:val="auto"/>
                <w:szCs w:val="28"/>
                <w:lang w:val="en-US"/>
              </w:rPr>
              <w:t xml:space="preserve"> in the DfE</w:t>
            </w:r>
            <w:r w:rsidR="006C46F8" w:rsidRPr="00E27862">
              <w:rPr>
                <w:iCs/>
                <w:color w:val="auto"/>
                <w:szCs w:val="28"/>
                <w:lang w:val="en-US"/>
              </w:rPr>
              <w:t>’s</w:t>
            </w:r>
            <w:r w:rsidRPr="00E27862">
              <w:rPr>
                <w:iCs/>
                <w:color w:val="auto"/>
                <w:szCs w:val="28"/>
                <w:lang w:val="en-US"/>
              </w:rPr>
              <w:t xml:space="preserve"> </w:t>
            </w:r>
            <w:r w:rsidR="006C46F8" w:rsidRPr="00E27862">
              <w:rPr>
                <w:iCs/>
                <w:color w:val="auto"/>
                <w:szCs w:val="28"/>
                <w:lang w:val="en-US"/>
              </w:rPr>
              <w:t>advice</w:t>
            </w:r>
            <w:r w:rsidRPr="00E27862">
              <w:rPr>
                <w:iCs/>
                <w:color w:val="auto"/>
                <w:szCs w:val="28"/>
                <w:lang w:val="en-US"/>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5449" w14:textId="77777777" w:rsidR="00B5090B" w:rsidRDefault="004C2DBA" w:rsidP="00DB2557">
            <w:pPr>
              <w:pStyle w:val="TableRowCentered"/>
              <w:jc w:val="left"/>
              <w:rPr>
                <w:color w:val="auto"/>
              </w:rPr>
            </w:pPr>
            <w:r w:rsidRPr="00E27862">
              <w:rPr>
                <w:color w:val="auto"/>
              </w:rPr>
              <w:t xml:space="preserve">The DfE guidance has been informed by engagement with schools that have significantly reduced </w:t>
            </w:r>
            <w:r w:rsidR="009E7DEE" w:rsidRPr="00E27862">
              <w:rPr>
                <w:color w:val="auto"/>
              </w:rPr>
              <w:t>levels of</w:t>
            </w:r>
            <w:r w:rsidR="00960901" w:rsidRPr="00E27862">
              <w:rPr>
                <w:color w:val="auto"/>
              </w:rPr>
              <w:t xml:space="preserve"> absence and</w:t>
            </w:r>
            <w:r w:rsidRPr="00E27862">
              <w:rPr>
                <w:color w:val="auto"/>
              </w:rPr>
              <w:t xml:space="preserve"> persistent absence. </w:t>
            </w:r>
          </w:p>
          <w:p w14:paraId="18698FB7" w14:textId="3BE79D97" w:rsidR="009F4EBA" w:rsidRPr="00E27862" w:rsidRDefault="00EA6C9B" w:rsidP="00B5090B">
            <w:pPr>
              <w:pStyle w:val="TableRowCentered"/>
              <w:jc w:val="left"/>
              <w:rPr>
                <w:color w:val="auto"/>
              </w:rPr>
            </w:pPr>
            <w:hyperlink r:id="rId43" w:history="1">
              <w:r>
                <w:rPr>
                  <w:rStyle w:val="Hyperlink"/>
                </w:rPr>
                <w:t>DFE Securing Good Attendance</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27C8566A" w:rsidR="004C2DBA" w:rsidRPr="00E27862" w:rsidRDefault="00B5090B" w:rsidP="00DB2557">
            <w:pPr>
              <w:pStyle w:val="TableRowCentered"/>
              <w:jc w:val="left"/>
              <w:rPr>
                <w:color w:val="auto"/>
                <w:sz w:val="22"/>
              </w:rPr>
            </w:pPr>
            <w:r>
              <w:rPr>
                <w:color w:val="auto"/>
                <w:sz w:val="22"/>
              </w:rPr>
              <w:t>6</w:t>
            </w:r>
          </w:p>
        </w:tc>
      </w:tr>
    </w:tbl>
    <w:p w14:paraId="00291E16" w14:textId="77777777" w:rsidR="00877501" w:rsidRDefault="00877501" w:rsidP="00877501">
      <w:pPr>
        <w:spacing w:after="120"/>
        <w:rPr>
          <w:b/>
          <w:bCs/>
          <w:color w:val="104F75"/>
          <w:sz w:val="28"/>
          <w:szCs w:val="28"/>
        </w:rPr>
      </w:pPr>
    </w:p>
    <w:p w14:paraId="3B4C40CE" w14:textId="73789824" w:rsidR="0025202A" w:rsidRPr="00EE6CC0" w:rsidRDefault="00676605" w:rsidP="00877501">
      <w:pPr>
        <w:rPr>
          <w:b/>
          <w:bCs/>
          <w:color w:val="auto"/>
          <w:sz w:val="28"/>
          <w:szCs w:val="28"/>
        </w:rPr>
      </w:pPr>
      <w:r>
        <w:rPr>
          <w:b/>
          <w:bCs/>
          <w:color w:val="104F75"/>
          <w:sz w:val="28"/>
          <w:szCs w:val="28"/>
        </w:rPr>
        <w:t>Tot</w:t>
      </w:r>
      <w:r w:rsidR="009D71E8">
        <w:rPr>
          <w:b/>
          <w:bCs/>
          <w:color w:val="104F75"/>
          <w:sz w:val="28"/>
          <w:szCs w:val="28"/>
        </w:rPr>
        <w:t xml:space="preserve">al budgeted cost: </w:t>
      </w:r>
      <w:r w:rsidR="009D71E8" w:rsidRPr="00E27862">
        <w:rPr>
          <w:b/>
          <w:bCs/>
          <w:color w:val="auto"/>
          <w:sz w:val="28"/>
          <w:szCs w:val="28"/>
        </w:rPr>
        <w:t>£</w:t>
      </w:r>
      <w:r w:rsidR="00F954EC">
        <w:rPr>
          <w:b/>
          <w:bCs/>
          <w:color w:val="auto"/>
          <w:sz w:val="28"/>
          <w:szCs w:val="28"/>
        </w:rPr>
        <w:t>102</w:t>
      </w:r>
      <w:r w:rsidR="000B11E5">
        <w:rPr>
          <w:b/>
          <w:bCs/>
          <w:color w:val="auto"/>
          <w:sz w:val="28"/>
          <w:szCs w:val="28"/>
        </w:rPr>
        <w:t>,000</w:t>
      </w:r>
    </w:p>
    <w:p w14:paraId="215DDBCE" w14:textId="77777777" w:rsidR="00981485" w:rsidRDefault="00981485">
      <w:pPr>
        <w:pStyle w:val="Heading1"/>
        <w:sectPr w:rsidR="00981485" w:rsidSect="005C123C">
          <w:footerReference w:type="default" r:id="rId44"/>
          <w:pgSz w:w="11906" w:h="16838"/>
          <w:pgMar w:top="993" w:right="1276" w:bottom="1134" w:left="1134" w:header="709" w:footer="709" w:gutter="0"/>
          <w:cols w:space="720"/>
        </w:sectPr>
      </w:pPr>
    </w:p>
    <w:p w14:paraId="2A7D5543" w14:textId="490AE787" w:rsidR="00E66558" w:rsidRDefault="009D71E8" w:rsidP="00331A82">
      <w:pPr>
        <w:pStyle w:val="Heading1"/>
      </w:pPr>
      <w:r>
        <w:lastRenderedPageBreak/>
        <w:t>Part B: Review of outcom</w:t>
      </w:r>
      <w:r w:rsidR="00331A82">
        <w:t xml:space="preserve">es in the previous academic year </w:t>
      </w:r>
      <w:r>
        <w:t>premium strategy outcomes</w:t>
      </w:r>
      <w:r w:rsidR="00253EB4">
        <w:t xml:space="preserve"> </w:t>
      </w:r>
      <w:r w:rsidR="00B54BCB">
        <w:rPr>
          <w:color w:val="00B050"/>
        </w:rPr>
        <w:t>December 202</w:t>
      </w:r>
      <w:r w:rsidR="00AB5242">
        <w:rPr>
          <w:color w:val="00B050"/>
        </w:rPr>
        <w:t>4</w:t>
      </w:r>
      <w:r w:rsidR="00253EB4" w:rsidRPr="00276F8F">
        <w:rPr>
          <w:color w:val="00B050"/>
        </w:rPr>
        <w:t>.</w:t>
      </w:r>
    </w:p>
    <w:p w14:paraId="0932B84E" w14:textId="2F23972E" w:rsidR="00375F16" w:rsidRPr="00276F8F" w:rsidRDefault="009D71E8">
      <w:pPr>
        <w:rPr>
          <w:color w:val="00B050"/>
        </w:rPr>
      </w:pPr>
      <w:r w:rsidRPr="00276F8F">
        <w:rPr>
          <w:color w:val="00B050"/>
        </w:rPr>
        <w:t>This details the impact that our pupil premium ac</w:t>
      </w:r>
      <w:r w:rsidR="00981485" w:rsidRPr="00276F8F">
        <w:rPr>
          <w:color w:val="00B050"/>
        </w:rPr>
        <w:t xml:space="preserve">tivity </w:t>
      </w:r>
      <w:r w:rsidR="00B54BCB">
        <w:rPr>
          <w:color w:val="00B050"/>
        </w:rPr>
        <w:t>had on pupils in the 202</w:t>
      </w:r>
      <w:r w:rsidR="00AB5242">
        <w:rPr>
          <w:color w:val="00B050"/>
        </w:rPr>
        <w:t>3</w:t>
      </w:r>
      <w:r w:rsidR="00B54BCB">
        <w:rPr>
          <w:color w:val="00B050"/>
        </w:rPr>
        <w:t xml:space="preserve"> to 202</w:t>
      </w:r>
      <w:r w:rsidR="00AB5242">
        <w:rPr>
          <w:color w:val="00B050"/>
        </w:rPr>
        <w:t>4</w:t>
      </w:r>
      <w:r w:rsidRPr="00276F8F">
        <w:rPr>
          <w:color w:val="00B050"/>
        </w:rPr>
        <w:t xml:space="preserve"> academic year. </w:t>
      </w:r>
    </w:p>
    <w:tbl>
      <w:tblPr>
        <w:tblW w:w="10632" w:type="dxa"/>
        <w:tblInd w:w="-572" w:type="dxa"/>
        <w:tblCellMar>
          <w:left w:w="10" w:type="dxa"/>
          <w:right w:w="10" w:type="dxa"/>
        </w:tblCellMar>
        <w:tblLook w:val="04A0" w:firstRow="1" w:lastRow="0" w:firstColumn="1" w:lastColumn="0" w:noHBand="0" w:noVBand="1"/>
      </w:tblPr>
      <w:tblGrid>
        <w:gridCol w:w="10632"/>
      </w:tblGrid>
      <w:tr w:rsidR="00E66558" w14:paraId="2A7D5547" w14:textId="77777777" w:rsidTr="00E40915">
        <w:trPr>
          <w:trHeight w:val="1102"/>
        </w:trPr>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D074" w14:textId="4EFA2917" w:rsidR="00626F8D" w:rsidRPr="0008604D" w:rsidRDefault="00655D57" w:rsidP="00676605">
            <w:pPr>
              <w:suppressAutoHyphens w:val="0"/>
              <w:autoSpaceDN/>
              <w:spacing w:after="120"/>
              <w:rPr>
                <w:b/>
                <w:color w:val="auto"/>
                <w:sz w:val="22"/>
                <w:szCs w:val="22"/>
                <w:lang w:eastAsia="en-US"/>
              </w:rPr>
            </w:pPr>
            <w:r>
              <w:rPr>
                <w:b/>
                <w:color w:val="auto"/>
                <w:sz w:val="22"/>
                <w:szCs w:val="22"/>
                <w:lang w:eastAsia="en-US"/>
              </w:rPr>
              <w:t xml:space="preserve">Challenge 1 - </w:t>
            </w:r>
            <w:r w:rsidR="00626F8D" w:rsidRPr="0008604D">
              <w:rPr>
                <w:b/>
                <w:color w:val="auto"/>
                <w:sz w:val="22"/>
                <w:szCs w:val="22"/>
                <w:lang w:eastAsia="en-US"/>
              </w:rPr>
              <w:t xml:space="preserve">To improve pupils’ language and communication skills in EYFS and KS1. </w:t>
            </w:r>
          </w:p>
          <w:p w14:paraId="4224B5F1" w14:textId="45CD7A0F" w:rsidR="00253EB4" w:rsidRPr="0008604D" w:rsidRDefault="00253EB4" w:rsidP="00676605">
            <w:pPr>
              <w:suppressAutoHyphens w:val="0"/>
              <w:autoSpaceDN/>
              <w:spacing w:after="120"/>
              <w:rPr>
                <w:b/>
                <w:color w:val="auto"/>
                <w:sz w:val="22"/>
                <w:szCs w:val="22"/>
                <w:u w:val="single"/>
                <w:lang w:eastAsia="en-US"/>
              </w:rPr>
            </w:pPr>
            <w:r w:rsidRPr="0008604D">
              <w:rPr>
                <w:b/>
                <w:color w:val="auto"/>
                <w:sz w:val="22"/>
                <w:szCs w:val="22"/>
                <w:u w:val="single"/>
                <w:lang w:eastAsia="en-US"/>
              </w:rPr>
              <w:t xml:space="preserve">Outcome </w:t>
            </w:r>
          </w:p>
          <w:p w14:paraId="34F77D43" w14:textId="139A72F9" w:rsidR="00F04D4D" w:rsidRDefault="00253EB4" w:rsidP="00676605">
            <w:pPr>
              <w:suppressAutoHyphens w:val="0"/>
              <w:autoSpaceDN/>
              <w:spacing w:after="120"/>
              <w:rPr>
                <w:color w:val="auto"/>
                <w:sz w:val="22"/>
                <w:szCs w:val="22"/>
                <w:lang w:eastAsia="en-US"/>
              </w:rPr>
            </w:pPr>
            <w:r>
              <w:rPr>
                <w:color w:val="auto"/>
                <w:sz w:val="22"/>
                <w:szCs w:val="22"/>
                <w:lang w:eastAsia="en-US"/>
              </w:rPr>
              <w:t xml:space="preserve">NELI interventions have been carried out by trained staff. </w:t>
            </w:r>
            <w:r w:rsidR="00F04D4D">
              <w:rPr>
                <w:color w:val="auto"/>
                <w:sz w:val="22"/>
                <w:szCs w:val="22"/>
                <w:lang w:eastAsia="en-US"/>
              </w:rPr>
              <w:t xml:space="preserve">There are 3 members of staff trained to deliver this intervention. </w:t>
            </w:r>
          </w:p>
          <w:tbl>
            <w:tblPr>
              <w:tblStyle w:val="TableGrid"/>
              <w:tblW w:w="0" w:type="auto"/>
              <w:tblLook w:val="04A0" w:firstRow="1" w:lastRow="0" w:firstColumn="1" w:lastColumn="0" w:noHBand="0" w:noVBand="1"/>
            </w:tblPr>
            <w:tblGrid>
              <w:gridCol w:w="3183"/>
              <w:gridCol w:w="3183"/>
              <w:gridCol w:w="3184"/>
            </w:tblGrid>
            <w:tr w:rsidR="00253EB4" w14:paraId="78918688" w14:textId="77777777" w:rsidTr="0008604D">
              <w:tc>
                <w:tcPr>
                  <w:tcW w:w="3183" w:type="dxa"/>
                  <w:shd w:val="clear" w:color="auto" w:fill="BFBFBF" w:themeFill="background1" w:themeFillShade="BF"/>
                </w:tcPr>
                <w:p w14:paraId="007CE7E8" w14:textId="196D14F2" w:rsidR="00253EB4" w:rsidRDefault="00335C6B" w:rsidP="0008604D">
                  <w:pPr>
                    <w:suppressAutoHyphens w:val="0"/>
                    <w:autoSpaceDN/>
                    <w:spacing w:after="120"/>
                    <w:jc w:val="center"/>
                    <w:rPr>
                      <w:color w:val="auto"/>
                      <w:sz w:val="22"/>
                      <w:szCs w:val="22"/>
                      <w:lang w:eastAsia="en-US"/>
                    </w:rPr>
                  </w:pPr>
                  <w:r>
                    <w:rPr>
                      <w:color w:val="auto"/>
                      <w:sz w:val="22"/>
                      <w:szCs w:val="22"/>
                      <w:lang w:eastAsia="en-US"/>
                    </w:rPr>
                    <w:t>Alert Level according to NELI screening.</w:t>
                  </w:r>
                </w:p>
              </w:tc>
              <w:tc>
                <w:tcPr>
                  <w:tcW w:w="3183" w:type="dxa"/>
                  <w:shd w:val="clear" w:color="auto" w:fill="BFBFBF" w:themeFill="background1" w:themeFillShade="BF"/>
                </w:tcPr>
                <w:p w14:paraId="52D966F4" w14:textId="4434E09D" w:rsidR="00253EB4" w:rsidRDefault="00335C6B" w:rsidP="0008604D">
                  <w:pPr>
                    <w:suppressAutoHyphens w:val="0"/>
                    <w:autoSpaceDN/>
                    <w:spacing w:after="120"/>
                    <w:jc w:val="center"/>
                    <w:rPr>
                      <w:color w:val="auto"/>
                      <w:sz w:val="22"/>
                      <w:szCs w:val="22"/>
                      <w:lang w:eastAsia="en-US"/>
                    </w:rPr>
                  </w:pPr>
                  <w:r>
                    <w:rPr>
                      <w:color w:val="auto"/>
                      <w:sz w:val="22"/>
                      <w:szCs w:val="22"/>
                      <w:lang w:eastAsia="en-US"/>
                    </w:rPr>
                    <w:t>% of children at the start of the programme</w:t>
                  </w:r>
                  <w:r w:rsidR="00655D57">
                    <w:rPr>
                      <w:color w:val="auto"/>
                      <w:sz w:val="22"/>
                      <w:szCs w:val="22"/>
                      <w:lang w:eastAsia="en-US"/>
                    </w:rPr>
                    <w:t xml:space="preserve"> </w:t>
                  </w:r>
                  <w:r w:rsidR="00F04D4D">
                    <w:rPr>
                      <w:color w:val="auto"/>
                      <w:sz w:val="22"/>
                      <w:szCs w:val="22"/>
                      <w:lang w:eastAsia="en-US"/>
                    </w:rPr>
                    <w:t>Sept 2</w:t>
                  </w:r>
                  <w:r w:rsidR="006F6BFA">
                    <w:rPr>
                      <w:color w:val="auto"/>
                      <w:sz w:val="22"/>
                      <w:szCs w:val="22"/>
                      <w:lang w:eastAsia="en-US"/>
                    </w:rPr>
                    <w:t>3</w:t>
                  </w:r>
                </w:p>
              </w:tc>
              <w:tc>
                <w:tcPr>
                  <w:tcW w:w="3184" w:type="dxa"/>
                  <w:shd w:val="clear" w:color="auto" w:fill="BFBFBF" w:themeFill="background1" w:themeFillShade="BF"/>
                </w:tcPr>
                <w:p w14:paraId="794F76E7" w14:textId="122A9E56" w:rsidR="00253EB4" w:rsidRDefault="00335C6B" w:rsidP="0008604D">
                  <w:pPr>
                    <w:suppressAutoHyphens w:val="0"/>
                    <w:autoSpaceDN/>
                    <w:spacing w:after="120"/>
                    <w:jc w:val="center"/>
                    <w:rPr>
                      <w:color w:val="auto"/>
                      <w:sz w:val="22"/>
                      <w:szCs w:val="22"/>
                      <w:lang w:eastAsia="en-US"/>
                    </w:rPr>
                  </w:pPr>
                  <w:r>
                    <w:rPr>
                      <w:color w:val="auto"/>
                      <w:sz w:val="22"/>
                      <w:szCs w:val="22"/>
                      <w:lang w:eastAsia="en-US"/>
                    </w:rPr>
                    <w:t>% of children at the end of the programme</w:t>
                  </w:r>
                  <w:r w:rsidR="00F04D4D">
                    <w:rPr>
                      <w:color w:val="auto"/>
                      <w:sz w:val="22"/>
                      <w:szCs w:val="22"/>
                      <w:lang w:eastAsia="en-US"/>
                    </w:rPr>
                    <w:t xml:space="preserve"> July 2</w:t>
                  </w:r>
                  <w:r w:rsidR="006F6BFA">
                    <w:rPr>
                      <w:color w:val="auto"/>
                      <w:sz w:val="22"/>
                      <w:szCs w:val="22"/>
                      <w:lang w:eastAsia="en-US"/>
                    </w:rPr>
                    <w:t>4</w:t>
                  </w:r>
                </w:p>
              </w:tc>
            </w:tr>
            <w:tr w:rsidR="00253EB4" w14:paraId="219F2EAC" w14:textId="77777777" w:rsidTr="00E40915">
              <w:trPr>
                <w:trHeight w:val="237"/>
              </w:trPr>
              <w:tc>
                <w:tcPr>
                  <w:tcW w:w="3183" w:type="dxa"/>
                </w:tcPr>
                <w:p w14:paraId="01E3111C" w14:textId="539C6E3C" w:rsidR="00253EB4" w:rsidRDefault="00335C6B" w:rsidP="00676605">
                  <w:pPr>
                    <w:suppressAutoHyphens w:val="0"/>
                    <w:autoSpaceDN/>
                    <w:spacing w:after="120"/>
                    <w:rPr>
                      <w:color w:val="auto"/>
                      <w:sz w:val="22"/>
                      <w:szCs w:val="22"/>
                      <w:lang w:eastAsia="en-US"/>
                    </w:rPr>
                  </w:pPr>
                  <w:r>
                    <w:rPr>
                      <w:color w:val="auto"/>
                      <w:sz w:val="22"/>
                      <w:szCs w:val="22"/>
                      <w:lang w:eastAsia="en-US"/>
                    </w:rPr>
                    <w:t>High Concern</w:t>
                  </w:r>
                </w:p>
              </w:tc>
              <w:tc>
                <w:tcPr>
                  <w:tcW w:w="3183" w:type="dxa"/>
                </w:tcPr>
                <w:p w14:paraId="7F1422D4" w14:textId="20C25B5E" w:rsidR="00253EB4" w:rsidRDefault="00244972" w:rsidP="00655D57">
                  <w:pPr>
                    <w:suppressAutoHyphens w:val="0"/>
                    <w:autoSpaceDN/>
                    <w:spacing w:after="120"/>
                    <w:jc w:val="center"/>
                    <w:rPr>
                      <w:color w:val="auto"/>
                      <w:sz w:val="22"/>
                      <w:szCs w:val="22"/>
                      <w:lang w:eastAsia="en-US"/>
                    </w:rPr>
                  </w:pPr>
                  <w:r>
                    <w:rPr>
                      <w:color w:val="auto"/>
                      <w:sz w:val="22"/>
                      <w:szCs w:val="22"/>
                      <w:lang w:eastAsia="en-US"/>
                    </w:rPr>
                    <w:t>17</w:t>
                  </w:r>
                  <w:r w:rsidR="00335C6B">
                    <w:rPr>
                      <w:color w:val="auto"/>
                      <w:sz w:val="22"/>
                      <w:szCs w:val="22"/>
                      <w:lang w:eastAsia="en-US"/>
                    </w:rPr>
                    <w:t>%</w:t>
                  </w:r>
                </w:p>
              </w:tc>
              <w:tc>
                <w:tcPr>
                  <w:tcW w:w="3184" w:type="dxa"/>
                </w:tcPr>
                <w:p w14:paraId="4289200B" w14:textId="33407B50" w:rsidR="00253EB4" w:rsidRDefault="00655D57" w:rsidP="00655D57">
                  <w:pPr>
                    <w:suppressAutoHyphens w:val="0"/>
                    <w:autoSpaceDN/>
                    <w:spacing w:after="120"/>
                    <w:jc w:val="center"/>
                    <w:rPr>
                      <w:color w:val="auto"/>
                      <w:sz w:val="22"/>
                      <w:szCs w:val="22"/>
                      <w:lang w:eastAsia="en-US"/>
                    </w:rPr>
                  </w:pPr>
                  <w:r>
                    <w:rPr>
                      <w:color w:val="auto"/>
                      <w:sz w:val="22"/>
                      <w:szCs w:val="22"/>
                      <w:lang w:eastAsia="en-US"/>
                    </w:rPr>
                    <w:t>-</w:t>
                  </w:r>
                </w:p>
              </w:tc>
            </w:tr>
            <w:tr w:rsidR="00253EB4" w14:paraId="2F35D96B" w14:textId="77777777" w:rsidTr="00253EB4">
              <w:tc>
                <w:tcPr>
                  <w:tcW w:w="3183" w:type="dxa"/>
                </w:tcPr>
                <w:p w14:paraId="72CE4CCE" w14:textId="1E509AAF" w:rsidR="00253EB4" w:rsidRDefault="00335C6B" w:rsidP="00676605">
                  <w:pPr>
                    <w:suppressAutoHyphens w:val="0"/>
                    <w:autoSpaceDN/>
                    <w:spacing w:after="120"/>
                    <w:rPr>
                      <w:color w:val="auto"/>
                      <w:sz w:val="22"/>
                      <w:szCs w:val="22"/>
                      <w:lang w:eastAsia="en-US"/>
                    </w:rPr>
                  </w:pPr>
                  <w:r>
                    <w:rPr>
                      <w:color w:val="auto"/>
                      <w:sz w:val="22"/>
                      <w:szCs w:val="22"/>
                      <w:lang w:eastAsia="en-US"/>
                    </w:rPr>
                    <w:t>Slight Concern</w:t>
                  </w:r>
                </w:p>
              </w:tc>
              <w:tc>
                <w:tcPr>
                  <w:tcW w:w="3183" w:type="dxa"/>
                </w:tcPr>
                <w:p w14:paraId="6F65703F" w14:textId="082DC76C" w:rsidR="00253EB4" w:rsidRDefault="00244972" w:rsidP="00655D57">
                  <w:pPr>
                    <w:suppressAutoHyphens w:val="0"/>
                    <w:autoSpaceDN/>
                    <w:spacing w:after="120"/>
                    <w:jc w:val="center"/>
                    <w:rPr>
                      <w:color w:val="auto"/>
                      <w:sz w:val="22"/>
                      <w:szCs w:val="22"/>
                      <w:lang w:eastAsia="en-US"/>
                    </w:rPr>
                  </w:pPr>
                  <w:r>
                    <w:rPr>
                      <w:color w:val="auto"/>
                      <w:sz w:val="22"/>
                      <w:szCs w:val="22"/>
                      <w:lang w:eastAsia="en-US"/>
                    </w:rPr>
                    <w:t>33</w:t>
                  </w:r>
                  <w:r w:rsidR="00335C6B">
                    <w:rPr>
                      <w:color w:val="auto"/>
                      <w:sz w:val="22"/>
                      <w:szCs w:val="22"/>
                      <w:lang w:eastAsia="en-US"/>
                    </w:rPr>
                    <w:t>%</w:t>
                  </w:r>
                </w:p>
              </w:tc>
              <w:tc>
                <w:tcPr>
                  <w:tcW w:w="3184" w:type="dxa"/>
                </w:tcPr>
                <w:p w14:paraId="21901301" w14:textId="1FCF21B4" w:rsidR="00253EB4" w:rsidRDefault="00A31956" w:rsidP="00655D57">
                  <w:pPr>
                    <w:suppressAutoHyphens w:val="0"/>
                    <w:autoSpaceDN/>
                    <w:spacing w:after="120"/>
                    <w:jc w:val="center"/>
                    <w:rPr>
                      <w:color w:val="auto"/>
                      <w:sz w:val="22"/>
                      <w:szCs w:val="22"/>
                      <w:lang w:eastAsia="en-US"/>
                    </w:rPr>
                  </w:pPr>
                  <w:r>
                    <w:rPr>
                      <w:color w:val="auto"/>
                      <w:sz w:val="22"/>
                      <w:szCs w:val="22"/>
                      <w:lang w:eastAsia="en-US"/>
                    </w:rPr>
                    <w:t>-</w:t>
                  </w:r>
                </w:p>
              </w:tc>
            </w:tr>
            <w:tr w:rsidR="00335C6B" w14:paraId="3F4B10AE" w14:textId="77777777" w:rsidTr="00253EB4">
              <w:tc>
                <w:tcPr>
                  <w:tcW w:w="3183" w:type="dxa"/>
                </w:tcPr>
                <w:p w14:paraId="1DD7D305" w14:textId="13DE8CAD" w:rsidR="00335C6B" w:rsidRDefault="00335C6B" w:rsidP="00676605">
                  <w:pPr>
                    <w:suppressAutoHyphens w:val="0"/>
                    <w:autoSpaceDN/>
                    <w:spacing w:after="120"/>
                    <w:rPr>
                      <w:color w:val="auto"/>
                      <w:sz w:val="22"/>
                      <w:szCs w:val="22"/>
                      <w:lang w:eastAsia="en-US"/>
                    </w:rPr>
                  </w:pPr>
                  <w:r>
                    <w:rPr>
                      <w:color w:val="auto"/>
                      <w:sz w:val="22"/>
                      <w:szCs w:val="22"/>
                      <w:lang w:eastAsia="en-US"/>
                    </w:rPr>
                    <w:t>No Concerns</w:t>
                  </w:r>
                </w:p>
              </w:tc>
              <w:tc>
                <w:tcPr>
                  <w:tcW w:w="3183" w:type="dxa"/>
                </w:tcPr>
                <w:p w14:paraId="7BC73304" w14:textId="3E476221" w:rsidR="00335C6B" w:rsidRDefault="00A31956" w:rsidP="00655D57">
                  <w:pPr>
                    <w:suppressAutoHyphens w:val="0"/>
                    <w:autoSpaceDN/>
                    <w:spacing w:after="120"/>
                    <w:jc w:val="center"/>
                    <w:rPr>
                      <w:color w:val="auto"/>
                      <w:sz w:val="22"/>
                      <w:szCs w:val="22"/>
                      <w:lang w:eastAsia="en-US"/>
                    </w:rPr>
                  </w:pPr>
                  <w:r>
                    <w:rPr>
                      <w:color w:val="auto"/>
                      <w:sz w:val="22"/>
                      <w:szCs w:val="22"/>
                      <w:lang w:eastAsia="en-US"/>
                    </w:rPr>
                    <w:t>50%</w:t>
                  </w:r>
                </w:p>
              </w:tc>
              <w:tc>
                <w:tcPr>
                  <w:tcW w:w="3184" w:type="dxa"/>
                </w:tcPr>
                <w:p w14:paraId="23FD163E" w14:textId="6B9B1943" w:rsidR="00335C6B" w:rsidRDefault="00A31956" w:rsidP="00655D57">
                  <w:pPr>
                    <w:suppressAutoHyphens w:val="0"/>
                    <w:autoSpaceDN/>
                    <w:spacing w:after="120"/>
                    <w:jc w:val="center"/>
                    <w:rPr>
                      <w:color w:val="auto"/>
                      <w:sz w:val="22"/>
                      <w:szCs w:val="22"/>
                      <w:lang w:eastAsia="en-US"/>
                    </w:rPr>
                  </w:pPr>
                  <w:r>
                    <w:rPr>
                      <w:color w:val="auto"/>
                      <w:sz w:val="22"/>
                      <w:szCs w:val="22"/>
                      <w:lang w:eastAsia="en-US"/>
                    </w:rPr>
                    <w:t>100</w:t>
                  </w:r>
                  <w:r w:rsidR="00335C6B">
                    <w:rPr>
                      <w:color w:val="auto"/>
                      <w:sz w:val="22"/>
                      <w:szCs w:val="22"/>
                      <w:lang w:eastAsia="en-US"/>
                    </w:rPr>
                    <w:t>%</w:t>
                  </w:r>
                </w:p>
              </w:tc>
            </w:tr>
          </w:tbl>
          <w:p w14:paraId="0C11AFF9" w14:textId="55F7C28E" w:rsidR="00335C6B" w:rsidRDefault="00335C6B" w:rsidP="00655D57">
            <w:pPr>
              <w:suppressAutoHyphens w:val="0"/>
              <w:autoSpaceDN/>
              <w:spacing w:after="120"/>
              <w:jc w:val="both"/>
              <w:rPr>
                <w:color w:val="auto"/>
                <w:sz w:val="22"/>
                <w:szCs w:val="22"/>
                <w:lang w:eastAsia="en-US"/>
              </w:rPr>
            </w:pPr>
            <w:r>
              <w:rPr>
                <w:color w:val="auto"/>
                <w:sz w:val="22"/>
                <w:szCs w:val="22"/>
                <w:lang w:eastAsia="en-US"/>
              </w:rPr>
              <w:t xml:space="preserve">The results show that the NELI programme has been successful for all pupils </w:t>
            </w:r>
            <w:r w:rsidR="00655D57">
              <w:rPr>
                <w:color w:val="auto"/>
                <w:sz w:val="22"/>
                <w:szCs w:val="22"/>
                <w:lang w:eastAsia="en-US"/>
              </w:rPr>
              <w:t xml:space="preserve">in </w:t>
            </w:r>
            <w:r>
              <w:rPr>
                <w:color w:val="auto"/>
                <w:sz w:val="22"/>
                <w:szCs w:val="22"/>
                <w:lang w:eastAsia="en-US"/>
              </w:rPr>
              <w:t>improving their speech, language and communication.  Of the pupils ta</w:t>
            </w:r>
            <w:r w:rsidR="00F04D4D">
              <w:rPr>
                <w:color w:val="auto"/>
                <w:sz w:val="22"/>
                <w:szCs w:val="22"/>
                <w:lang w:eastAsia="en-US"/>
              </w:rPr>
              <w:t>king part in the intervention 40</w:t>
            </w:r>
            <w:r>
              <w:rPr>
                <w:color w:val="auto"/>
                <w:sz w:val="22"/>
                <w:szCs w:val="22"/>
                <w:lang w:eastAsia="en-US"/>
              </w:rPr>
              <w:t>% were</w:t>
            </w:r>
            <w:r w:rsidR="00F04D4D">
              <w:rPr>
                <w:color w:val="auto"/>
                <w:sz w:val="22"/>
                <w:szCs w:val="22"/>
                <w:lang w:eastAsia="en-US"/>
              </w:rPr>
              <w:t xml:space="preserve"> eligible for the pupil premium.</w:t>
            </w:r>
            <w:r>
              <w:rPr>
                <w:color w:val="auto"/>
                <w:sz w:val="22"/>
                <w:szCs w:val="22"/>
                <w:lang w:eastAsia="en-US"/>
              </w:rPr>
              <w:t xml:space="preserve"> </w:t>
            </w:r>
            <w:r w:rsidR="0008604D">
              <w:rPr>
                <w:color w:val="auto"/>
                <w:sz w:val="22"/>
                <w:szCs w:val="22"/>
                <w:lang w:eastAsia="en-US"/>
              </w:rPr>
              <w:t>NELI is already und</w:t>
            </w:r>
            <w:r w:rsidR="00F04D4D">
              <w:rPr>
                <w:color w:val="auto"/>
                <w:sz w:val="22"/>
                <w:szCs w:val="22"/>
                <w:lang w:eastAsia="en-US"/>
              </w:rPr>
              <w:t>erway for the academic year 202</w:t>
            </w:r>
            <w:r w:rsidR="00A31956">
              <w:rPr>
                <w:color w:val="auto"/>
                <w:sz w:val="22"/>
                <w:szCs w:val="22"/>
                <w:lang w:eastAsia="en-US"/>
              </w:rPr>
              <w:t>4</w:t>
            </w:r>
            <w:r w:rsidR="00F04D4D">
              <w:rPr>
                <w:color w:val="auto"/>
                <w:sz w:val="22"/>
                <w:szCs w:val="22"/>
                <w:lang w:eastAsia="en-US"/>
              </w:rPr>
              <w:t>-202</w:t>
            </w:r>
            <w:r w:rsidR="00A31956">
              <w:rPr>
                <w:color w:val="auto"/>
                <w:sz w:val="22"/>
                <w:szCs w:val="22"/>
                <w:lang w:eastAsia="en-US"/>
              </w:rPr>
              <w:t>5</w:t>
            </w:r>
            <w:r w:rsidR="0008604D">
              <w:rPr>
                <w:color w:val="auto"/>
                <w:sz w:val="22"/>
                <w:szCs w:val="22"/>
                <w:lang w:eastAsia="en-US"/>
              </w:rPr>
              <w:t xml:space="preserve">. </w:t>
            </w:r>
          </w:p>
          <w:p w14:paraId="09B797C2" w14:textId="4109C102" w:rsidR="00C06739" w:rsidRPr="00C06739" w:rsidRDefault="00335C6B" w:rsidP="00655D57">
            <w:pPr>
              <w:suppressAutoHyphens w:val="0"/>
              <w:autoSpaceDN/>
              <w:spacing w:after="120"/>
              <w:jc w:val="both"/>
              <w:rPr>
                <w:color w:val="auto"/>
                <w:sz w:val="22"/>
                <w:szCs w:val="22"/>
                <w:lang w:eastAsia="en-US"/>
              </w:rPr>
            </w:pPr>
            <w:r>
              <w:rPr>
                <w:color w:val="auto"/>
                <w:sz w:val="22"/>
                <w:szCs w:val="22"/>
                <w:lang w:eastAsia="en-US"/>
              </w:rPr>
              <w:t>SALT interventions have been delivered under the direction of the speech and language therapist including the use of colourful</w:t>
            </w:r>
            <w:r w:rsidR="0008604D">
              <w:rPr>
                <w:color w:val="auto"/>
                <w:sz w:val="22"/>
                <w:szCs w:val="22"/>
                <w:lang w:eastAsia="en-US"/>
              </w:rPr>
              <w:t xml:space="preserve"> semantics to improve sentence formation</w:t>
            </w:r>
            <w:r>
              <w:rPr>
                <w:color w:val="auto"/>
                <w:sz w:val="22"/>
                <w:szCs w:val="22"/>
                <w:lang w:eastAsia="en-US"/>
              </w:rPr>
              <w:t xml:space="preserve">.  </w:t>
            </w:r>
            <w:r w:rsidR="0008604D">
              <w:rPr>
                <w:color w:val="auto"/>
                <w:sz w:val="22"/>
                <w:szCs w:val="22"/>
                <w:lang w:eastAsia="en-US"/>
              </w:rPr>
              <w:t>During the year</w:t>
            </w:r>
            <w:r w:rsidR="00655D57">
              <w:rPr>
                <w:color w:val="auto"/>
                <w:sz w:val="22"/>
                <w:szCs w:val="22"/>
                <w:lang w:eastAsia="en-US"/>
              </w:rPr>
              <w:t>,</w:t>
            </w:r>
            <w:r w:rsidR="00F04D4D">
              <w:rPr>
                <w:color w:val="auto"/>
                <w:sz w:val="22"/>
                <w:szCs w:val="22"/>
                <w:lang w:eastAsia="en-US"/>
              </w:rPr>
              <w:t xml:space="preserve"> </w:t>
            </w:r>
            <w:r w:rsidR="00C005A8">
              <w:rPr>
                <w:color w:val="auto"/>
                <w:sz w:val="22"/>
                <w:szCs w:val="22"/>
                <w:lang w:eastAsia="en-US"/>
              </w:rPr>
              <w:t>17</w:t>
            </w:r>
            <w:r w:rsidR="00F04D4D">
              <w:rPr>
                <w:color w:val="auto"/>
                <w:sz w:val="22"/>
                <w:szCs w:val="22"/>
                <w:lang w:eastAsia="en-US"/>
              </w:rPr>
              <w:t xml:space="preserve"> children worked on individual SALT programmes of these </w:t>
            </w:r>
            <w:r w:rsidR="006660D2">
              <w:rPr>
                <w:color w:val="auto"/>
                <w:sz w:val="22"/>
                <w:szCs w:val="22"/>
                <w:lang w:eastAsia="en-US"/>
              </w:rPr>
              <w:t>5</w:t>
            </w:r>
            <w:r w:rsidR="0008604D">
              <w:rPr>
                <w:color w:val="auto"/>
                <w:sz w:val="22"/>
                <w:szCs w:val="22"/>
                <w:lang w:eastAsia="en-US"/>
              </w:rPr>
              <w:t xml:space="preserve"> children were</w:t>
            </w:r>
            <w:r w:rsidR="00F04D4D">
              <w:rPr>
                <w:color w:val="auto"/>
                <w:sz w:val="22"/>
                <w:szCs w:val="22"/>
                <w:lang w:eastAsia="en-US"/>
              </w:rPr>
              <w:t xml:space="preserve"> eligible for the pupil premium grant. </w:t>
            </w:r>
            <w:r w:rsidR="0008604D">
              <w:rPr>
                <w:color w:val="auto"/>
                <w:sz w:val="22"/>
                <w:szCs w:val="22"/>
                <w:lang w:eastAsia="en-US"/>
              </w:rPr>
              <w:t xml:space="preserve">     </w:t>
            </w:r>
          </w:p>
          <w:p w14:paraId="2EF6E09F" w14:textId="5EF607F2" w:rsidR="00626F8D" w:rsidRDefault="00626F8D" w:rsidP="00676605">
            <w:pPr>
              <w:suppressAutoHyphens w:val="0"/>
              <w:autoSpaceDN/>
              <w:spacing w:after="120"/>
              <w:rPr>
                <w:b/>
                <w:color w:val="auto"/>
                <w:sz w:val="22"/>
                <w:szCs w:val="22"/>
                <w:lang w:eastAsia="en-US"/>
              </w:rPr>
            </w:pPr>
            <w:r w:rsidRPr="0008604D">
              <w:rPr>
                <w:b/>
                <w:color w:val="auto"/>
                <w:sz w:val="22"/>
                <w:szCs w:val="22"/>
                <w:lang w:eastAsia="en-US"/>
              </w:rPr>
              <w:t xml:space="preserve">Challenge 2 </w:t>
            </w:r>
            <w:r w:rsidR="00655D57">
              <w:rPr>
                <w:b/>
                <w:color w:val="auto"/>
                <w:sz w:val="22"/>
                <w:szCs w:val="22"/>
                <w:lang w:eastAsia="en-US"/>
              </w:rPr>
              <w:t xml:space="preserve">- </w:t>
            </w:r>
            <w:r w:rsidRPr="0008604D">
              <w:rPr>
                <w:b/>
                <w:color w:val="auto"/>
                <w:sz w:val="22"/>
                <w:szCs w:val="22"/>
                <w:lang w:eastAsia="en-US"/>
              </w:rPr>
              <w:t>To improve pupils’ vocabulary</w:t>
            </w:r>
          </w:p>
          <w:p w14:paraId="09B7AE71" w14:textId="3E1ECADB" w:rsidR="00E40915" w:rsidRPr="00E40915" w:rsidRDefault="00E40915" w:rsidP="00676605">
            <w:pPr>
              <w:suppressAutoHyphens w:val="0"/>
              <w:autoSpaceDN/>
              <w:spacing w:after="120"/>
              <w:rPr>
                <w:b/>
                <w:color w:val="auto"/>
                <w:sz w:val="22"/>
                <w:szCs w:val="22"/>
                <w:u w:val="single"/>
                <w:lang w:eastAsia="en-US"/>
              </w:rPr>
            </w:pPr>
            <w:r w:rsidRPr="00E40915">
              <w:rPr>
                <w:b/>
                <w:color w:val="auto"/>
                <w:sz w:val="22"/>
                <w:szCs w:val="22"/>
                <w:u w:val="single"/>
                <w:lang w:eastAsia="en-US"/>
              </w:rPr>
              <w:t>Outcome</w:t>
            </w:r>
          </w:p>
          <w:p w14:paraId="675B1625" w14:textId="648EBCE0" w:rsidR="00626F8D" w:rsidRDefault="00C06739" w:rsidP="00676605">
            <w:pPr>
              <w:suppressAutoHyphens w:val="0"/>
              <w:autoSpaceDN/>
              <w:spacing w:after="120"/>
              <w:rPr>
                <w:color w:val="auto"/>
                <w:sz w:val="22"/>
                <w:szCs w:val="22"/>
                <w:lang w:eastAsia="en-US"/>
              </w:rPr>
            </w:pPr>
            <w:r>
              <w:rPr>
                <w:color w:val="auto"/>
                <w:sz w:val="22"/>
                <w:szCs w:val="22"/>
                <w:lang w:eastAsia="en-US"/>
              </w:rPr>
              <w:t>Vocabulary Ninja has continued to impact children’</w:t>
            </w:r>
            <w:r w:rsidR="00655D57">
              <w:rPr>
                <w:color w:val="auto"/>
                <w:sz w:val="22"/>
                <w:szCs w:val="22"/>
                <w:lang w:eastAsia="en-US"/>
              </w:rPr>
              <w:t>s word</w:t>
            </w:r>
            <w:r>
              <w:rPr>
                <w:color w:val="auto"/>
                <w:sz w:val="22"/>
                <w:szCs w:val="22"/>
                <w:lang w:eastAsia="en-US"/>
              </w:rPr>
              <w:t xml:space="preserve"> knowledge. This is evident through observation and sampling of spoken and written language. </w:t>
            </w:r>
            <w:r w:rsidR="00655D57">
              <w:rPr>
                <w:color w:val="auto"/>
                <w:sz w:val="22"/>
                <w:szCs w:val="22"/>
                <w:lang w:eastAsia="en-US"/>
              </w:rPr>
              <w:t>Vocabulary Ninja pri</w:t>
            </w:r>
            <w:r>
              <w:rPr>
                <w:color w:val="auto"/>
                <w:sz w:val="22"/>
                <w:szCs w:val="22"/>
                <w:lang w:eastAsia="en-US"/>
              </w:rPr>
              <w:t>mari</w:t>
            </w:r>
            <w:r w:rsidR="00655D57">
              <w:rPr>
                <w:color w:val="auto"/>
                <w:sz w:val="22"/>
                <w:szCs w:val="22"/>
                <w:lang w:eastAsia="en-US"/>
              </w:rPr>
              <w:t>l</w:t>
            </w:r>
            <w:r>
              <w:rPr>
                <w:color w:val="auto"/>
                <w:sz w:val="22"/>
                <w:szCs w:val="22"/>
                <w:lang w:eastAsia="en-US"/>
              </w:rPr>
              <w:t>y impacts the children’s knowledge</w:t>
            </w:r>
            <w:r w:rsidR="00655D57">
              <w:rPr>
                <w:color w:val="auto"/>
                <w:sz w:val="22"/>
                <w:szCs w:val="22"/>
                <w:lang w:eastAsia="en-US"/>
              </w:rPr>
              <w:t xml:space="preserve"> of Tier 2 vocab</w:t>
            </w:r>
            <w:r w:rsidR="00E40915">
              <w:rPr>
                <w:color w:val="auto"/>
                <w:sz w:val="22"/>
                <w:szCs w:val="22"/>
                <w:lang w:eastAsia="en-US"/>
              </w:rPr>
              <w:t>ulary.  The updated curriculum for foundation subjects is now embedded and the teaching</w:t>
            </w:r>
            <w:r w:rsidR="00655D57">
              <w:rPr>
                <w:color w:val="auto"/>
                <w:sz w:val="22"/>
                <w:szCs w:val="22"/>
                <w:lang w:eastAsia="en-US"/>
              </w:rPr>
              <w:t xml:space="preserve"> and use of</w:t>
            </w:r>
            <w:r w:rsidR="00E40915">
              <w:rPr>
                <w:color w:val="auto"/>
                <w:sz w:val="22"/>
                <w:szCs w:val="22"/>
                <w:lang w:eastAsia="en-US"/>
              </w:rPr>
              <w:t xml:space="preserve"> tier 3 technical language is part of all lessons. </w:t>
            </w:r>
            <w:r w:rsidR="00F04D4D">
              <w:rPr>
                <w:color w:val="auto"/>
                <w:sz w:val="22"/>
                <w:szCs w:val="22"/>
                <w:lang w:eastAsia="en-US"/>
              </w:rPr>
              <w:t>A</w:t>
            </w:r>
            <w:r w:rsidR="00655D57">
              <w:rPr>
                <w:color w:val="auto"/>
                <w:sz w:val="22"/>
                <w:szCs w:val="22"/>
                <w:lang w:eastAsia="en-US"/>
              </w:rPr>
              <w:t>ssessment of the foundation</w:t>
            </w:r>
            <w:r w:rsidR="00E40915">
              <w:rPr>
                <w:color w:val="auto"/>
                <w:sz w:val="22"/>
                <w:szCs w:val="22"/>
                <w:lang w:eastAsia="en-US"/>
              </w:rPr>
              <w:t xml:space="preserve"> subjects </w:t>
            </w:r>
            <w:r w:rsidR="00F04D4D">
              <w:rPr>
                <w:color w:val="auto"/>
                <w:sz w:val="22"/>
                <w:szCs w:val="22"/>
                <w:lang w:eastAsia="en-US"/>
              </w:rPr>
              <w:t xml:space="preserve">includes the children’s </w:t>
            </w:r>
            <w:r w:rsidR="00E40915">
              <w:rPr>
                <w:color w:val="auto"/>
                <w:sz w:val="22"/>
                <w:szCs w:val="22"/>
                <w:lang w:eastAsia="en-US"/>
              </w:rPr>
              <w:t>use of technical language</w:t>
            </w:r>
            <w:r w:rsidR="00F04D4D">
              <w:rPr>
                <w:color w:val="auto"/>
                <w:sz w:val="22"/>
                <w:szCs w:val="22"/>
                <w:lang w:eastAsia="en-US"/>
              </w:rPr>
              <w:t>.</w:t>
            </w:r>
            <w:r w:rsidR="00E40915">
              <w:rPr>
                <w:color w:val="auto"/>
                <w:sz w:val="22"/>
                <w:szCs w:val="22"/>
                <w:lang w:eastAsia="en-US"/>
              </w:rPr>
              <w:t xml:space="preserve"> </w:t>
            </w:r>
          </w:p>
          <w:p w14:paraId="44573505" w14:textId="3504C8C8" w:rsidR="00626F8D" w:rsidRDefault="00804535" w:rsidP="00676605">
            <w:pPr>
              <w:suppressAutoHyphens w:val="0"/>
              <w:autoSpaceDN/>
              <w:spacing w:after="120"/>
              <w:rPr>
                <w:b/>
                <w:color w:val="auto"/>
                <w:sz w:val="22"/>
                <w:szCs w:val="22"/>
                <w:lang w:eastAsia="en-US"/>
              </w:rPr>
            </w:pPr>
            <w:r>
              <w:rPr>
                <w:b/>
                <w:color w:val="auto"/>
                <w:sz w:val="22"/>
                <w:szCs w:val="22"/>
                <w:lang w:eastAsia="en-US"/>
              </w:rPr>
              <w:t xml:space="preserve">Challenge 3 - </w:t>
            </w:r>
            <w:r w:rsidR="00626F8D" w:rsidRPr="00E40915">
              <w:rPr>
                <w:b/>
                <w:color w:val="auto"/>
                <w:sz w:val="22"/>
                <w:szCs w:val="22"/>
                <w:lang w:eastAsia="en-US"/>
              </w:rPr>
              <w:t xml:space="preserve">To ensure disadvantaged pupils develop the skills needed for early reading. </w:t>
            </w:r>
          </w:p>
          <w:p w14:paraId="107EF6E3" w14:textId="5F2F30CA" w:rsidR="00E40915" w:rsidRPr="00E40915" w:rsidRDefault="00E40915" w:rsidP="00676605">
            <w:pPr>
              <w:suppressAutoHyphens w:val="0"/>
              <w:autoSpaceDN/>
              <w:spacing w:after="120"/>
              <w:rPr>
                <w:b/>
                <w:color w:val="auto"/>
                <w:sz w:val="22"/>
                <w:szCs w:val="22"/>
                <w:u w:val="single"/>
                <w:lang w:eastAsia="en-US"/>
              </w:rPr>
            </w:pPr>
            <w:r w:rsidRPr="00E40915">
              <w:rPr>
                <w:b/>
                <w:color w:val="auto"/>
                <w:sz w:val="22"/>
                <w:szCs w:val="22"/>
                <w:u w:val="single"/>
                <w:lang w:eastAsia="en-US"/>
              </w:rPr>
              <w:t>Outcome</w:t>
            </w:r>
            <w:r w:rsidR="00F440FE">
              <w:rPr>
                <w:b/>
                <w:color w:val="auto"/>
                <w:sz w:val="22"/>
                <w:szCs w:val="22"/>
                <w:u w:val="single"/>
                <w:lang w:eastAsia="en-US"/>
              </w:rPr>
              <w:t xml:space="preserve">s </w:t>
            </w:r>
          </w:p>
          <w:tbl>
            <w:tblPr>
              <w:tblStyle w:val="TableGrid"/>
              <w:tblW w:w="0" w:type="auto"/>
              <w:tblLook w:val="04A0" w:firstRow="1" w:lastRow="0" w:firstColumn="1" w:lastColumn="0" w:noHBand="0" w:noVBand="1"/>
            </w:tblPr>
            <w:tblGrid>
              <w:gridCol w:w="3429"/>
              <w:gridCol w:w="1984"/>
              <w:gridCol w:w="1701"/>
            </w:tblGrid>
            <w:tr w:rsidR="00331A82" w:rsidRPr="00331A82" w14:paraId="0F1C8AD3" w14:textId="77777777" w:rsidTr="0001407C">
              <w:tc>
                <w:tcPr>
                  <w:tcW w:w="3429" w:type="dxa"/>
                  <w:shd w:val="clear" w:color="auto" w:fill="BFBFBF" w:themeFill="background1" w:themeFillShade="BF"/>
                </w:tcPr>
                <w:p w14:paraId="11DD94F0" w14:textId="198664B9"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 xml:space="preserve">Reading  </w:t>
                  </w:r>
                  <w:r w:rsidR="00F04D4D">
                    <w:rPr>
                      <w:color w:val="auto"/>
                      <w:sz w:val="22"/>
                      <w:szCs w:val="22"/>
                      <w:lang w:eastAsia="en-US"/>
                    </w:rPr>
                    <w:t>July 202</w:t>
                  </w:r>
                  <w:r w:rsidR="005C605C">
                    <w:rPr>
                      <w:color w:val="auto"/>
                      <w:sz w:val="22"/>
                      <w:szCs w:val="22"/>
                      <w:lang w:eastAsia="en-US"/>
                    </w:rPr>
                    <w:t>4</w:t>
                  </w:r>
                </w:p>
              </w:tc>
              <w:tc>
                <w:tcPr>
                  <w:tcW w:w="1984" w:type="dxa"/>
                  <w:shd w:val="clear" w:color="auto" w:fill="BFBFBF" w:themeFill="background1" w:themeFillShade="BF"/>
                </w:tcPr>
                <w:p w14:paraId="7CA77AB9" w14:textId="77777777"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Whole School</w:t>
                  </w:r>
                </w:p>
              </w:tc>
              <w:tc>
                <w:tcPr>
                  <w:tcW w:w="1701" w:type="dxa"/>
                  <w:shd w:val="clear" w:color="auto" w:fill="BFBFBF" w:themeFill="background1" w:themeFillShade="BF"/>
                </w:tcPr>
                <w:p w14:paraId="401C0C9C" w14:textId="77777777"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PPG</w:t>
                  </w:r>
                </w:p>
              </w:tc>
            </w:tr>
            <w:tr w:rsidR="00331A82" w:rsidRPr="00331A82" w14:paraId="4716A715" w14:textId="77777777" w:rsidTr="00335C6B">
              <w:tc>
                <w:tcPr>
                  <w:tcW w:w="3429" w:type="dxa"/>
                </w:tcPr>
                <w:p w14:paraId="55068570" w14:textId="77777777"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Attainment EXS+</w:t>
                  </w:r>
                </w:p>
              </w:tc>
              <w:tc>
                <w:tcPr>
                  <w:tcW w:w="1984" w:type="dxa"/>
                </w:tcPr>
                <w:p w14:paraId="7639E9C8" w14:textId="712C53A6" w:rsidR="00D572FA" w:rsidRPr="00331A82" w:rsidRDefault="008A649E" w:rsidP="00716D8F">
                  <w:pPr>
                    <w:suppressAutoHyphens w:val="0"/>
                    <w:autoSpaceDN/>
                    <w:spacing w:after="120"/>
                    <w:jc w:val="center"/>
                    <w:rPr>
                      <w:color w:val="auto"/>
                      <w:sz w:val="22"/>
                      <w:szCs w:val="22"/>
                      <w:lang w:eastAsia="en-US"/>
                    </w:rPr>
                  </w:pPr>
                  <w:r>
                    <w:rPr>
                      <w:color w:val="auto"/>
                      <w:sz w:val="22"/>
                      <w:szCs w:val="22"/>
                      <w:lang w:eastAsia="en-US"/>
                    </w:rPr>
                    <w:t>6</w:t>
                  </w:r>
                  <w:r w:rsidR="004471C7">
                    <w:rPr>
                      <w:color w:val="auto"/>
                      <w:sz w:val="22"/>
                      <w:szCs w:val="22"/>
                      <w:lang w:eastAsia="en-US"/>
                    </w:rPr>
                    <w:t>9</w:t>
                  </w:r>
                  <w:r w:rsidR="00331A82" w:rsidRPr="00331A82">
                    <w:rPr>
                      <w:color w:val="auto"/>
                      <w:sz w:val="22"/>
                      <w:szCs w:val="22"/>
                      <w:lang w:eastAsia="en-US"/>
                    </w:rPr>
                    <w:t>%</w:t>
                  </w:r>
                </w:p>
              </w:tc>
              <w:tc>
                <w:tcPr>
                  <w:tcW w:w="1701" w:type="dxa"/>
                </w:tcPr>
                <w:p w14:paraId="26CAA487" w14:textId="184842A3" w:rsidR="00D572FA" w:rsidRPr="00331A82" w:rsidRDefault="00F04D4D" w:rsidP="00716D8F">
                  <w:pPr>
                    <w:suppressAutoHyphens w:val="0"/>
                    <w:autoSpaceDN/>
                    <w:spacing w:after="120"/>
                    <w:jc w:val="center"/>
                    <w:rPr>
                      <w:color w:val="auto"/>
                      <w:sz w:val="22"/>
                      <w:szCs w:val="22"/>
                      <w:lang w:eastAsia="en-US"/>
                    </w:rPr>
                  </w:pPr>
                  <w:r>
                    <w:rPr>
                      <w:color w:val="auto"/>
                      <w:sz w:val="22"/>
                      <w:szCs w:val="22"/>
                      <w:lang w:eastAsia="en-US"/>
                    </w:rPr>
                    <w:t>5</w:t>
                  </w:r>
                  <w:r w:rsidR="004471C7">
                    <w:rPr>
                      <w:color w:val="auto"/>
                      <w:sz w:val="22"/>
                      <w:szCs w:val="22"/>
                      <w:lang w:eastAsia="en-US"/>
                    </w:rPr>
                    <w:t>0</w:t>
                  </w:r>
                  <w:r w:rsidR="00331A82" w:rsidRPr="00331A82">
                    <w:rPr>
                      <w:color w:val="auto"/>
                      <w:sz w:val="22"/>
                      <w:szCs w:val="22"/>
                      <w:lang w:eastAsia="en-US"/>
                    </w:rPr>
                    <w:t>%</w:t>
                  </w:r>
                </w:p>
              </w:tc>
            </w:tr>
            <w:tr w:rsidR="00D572FA" w:rsidRPr="00331A82" w14:paraId="65F2EC59" w14:textId="77777777" w:rsidTr="00335C6B">
              <w:tc>
                <w:tcPr>
                  <w:tcW w:w="3429" w:type="dxa"/>
                </w:tcPr>
                <w:p w14:paraId="4B14BAE0" w14:textId="77777777"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Attainment GDS</w:t>
                  </w:r>
                </w:p>
              </w:tc>
              <w:tc>
                <w:tcPr>
                  <w:tcW w:w="1984" w:type="dxa"/>
                </w:tcPr>
                <w:p w14:paraId="755212F1" w14:textId="214CF050" w:rsidR="00D572FA" w:rsidRPr="00331A82" w:rsidRDefault="004471C7" w:rsidP="00716D8F">
                  <w:pPr>
                    <w:suppressAutoHyphens w:val="0"/>
                    <w:autoSpaceDN/>
                    <w:spacing w:after="120"/>
                    <w:jc w:val="center"/>
                    <w:rPr>
                      <w:color w:val="auto"/>
                      <w:sz w:val="22"/>
                      <w:szCs w:val="22"/>
                      <w:lang w:eastAsia="en-US"/>
                    </w:rPr>
                  </w:pPr>
                  <w:r>
                    <w:rPr>
                      <w:color w:val="auto"/>
                      <w:sz w:val="22"/>
                      <w:szCs w:val="22"/>
                      <w:lang w:eastAsia="en-US"/>
                    </w:rPr>
                    <w:t>18</w:t>
                  </w:r>
                  <w:r w:rsidR="00331A82" w:rsidRPr="00331A82">
                    <w:rPr>
                      <w:color w:val="auto"/>
                      <w:sz w:val="22"/>
                      <w:szCs w:val="22"/>
                      <w:lang w:eastAsia="en-US"/>
                    </w:rPr>
                    <w:t>%</w:t>
                  </w:r>
                </w:p>
              </w:tc>
              <w:tc>
                <w:tcPr>
                  <w:tcW w:w="1701" w:type="dxa"/>
                </w:tcPr>
                <w:p w14:paraId="68AD9325" w14:textId="2144AF20" w:rsidR="00D572FA" w:rsidRPr="00331A82" w:rsidRDefault="00F04D4D" w:rsidP="00716D8F">
                  <w:pPr>
                    <w:suppressAutoHyphens w:val="0"/>
                    <w:autoSpaceDN/>
                    <w:spacing w:after="120"/>
                    <w:jc w:val="center"/>
                    <w:rPr>
                      <w:color w:val="auto"/>
                      <w:sz w:val="22"/>
                      <w:szCs w:val="22"/>
                      <w:lang w:eastAsia="en-US"/>
                    </w:rPr>
                  </w:pPr>
                  <w:r>
                    <w:rPr>
                      <w:color w:val="auto"/>
                      <w:sz w:val="22"/>
                      <w:szCs w:val="22"/>
                      <w:lang w:eastAsia="en-US"/>
                    </w:rPr>
                    <w:t>1</w:t>
                  </w:r>
                  <w:r w:rsidR="004471C7">
                    <w:rPr>
                      <w:color w:val="auto"/>
                      <w:sz w:val="22"/>
                      <w:szCs w:val="22"/>
                      <w:lang w:eastAsia="en-US"/>
                    </w:rPr>
                    <w:t>0</w:t>
                  </w:r>
                  <w:r w:rsidR="00331A82" w:rsidRPr="00331A82">
                    <w:rPr>
                      <w:color w:val="auto"/>
                      <w:sz w:val="22"/>
                      <w:szCs w:val="22"/>
                      <w:lang w:eastAsia="en-US"/>
                    </w:rPr>
                    <w:t>%</w:t>
                  </w:r>
                </w:p>
              </w:tc>
            </w:tr>
            <w:tr w:rsidR="00331A82" w:rsidRPr="00331A82" w14:paraId="0DA61F6A" w14:textId="77777777" w:rsidTr="00335C6B">
              <w:tc>
                <w:tcPr>
                  <w:tcW w:w="3429" w:type="dxa"/>
                </w:tcPr>
                <w:p w14:paraId="3362007A" w14:textId="2FEFA634"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Expected progress +</w:t>
                  </w:r>
                </w:p>
              </w:tc>
              <w:tc>
                <w:tcPr>
                  <w:tcW w:w="1984" w:type="dxa"/>
                </w:tcPr>
                <w:p w14:paraId="51B9229C" w14:textId="61227D60" w:rsidR="00D572FA" w:rsidRPr="00331A82" w:rsidRDefault="001939EE" w:rsidP="00716D8F">
                  <w:pPr>
                    <w:suppressAutoHyphens w:val="0"/>
                    <w:autoSpaceDN/>
                    <w:spacing w:after="120"/>
                    <w:jc w:val="center"/>
                    <w:rPr>
                      <w:color w:val="auto"/>
                      <w:sz w:val="22"/>
                      <w:szCs w:val="22"/>
                      <w:lang w:eastAsia="en-US"/>
                    </w:rPr>
                  </w:pPr>
                  <w:r>
                    <w:rPr>
                      <w:color w:val="auto"/>
                      <w:sz w:val="22"/>
                      <w:szCs w:val="22"/>
                      <w:lang w:eastAsia="en-US"/>
                    </w:rPr>
                    <w:t>74</w:t>
                  </w:r>
                  <w:r w:rsidR="00331A82" w:rsidRPr="00331A82">
                    <w:rPr>
                      <w:color w:val="auto"/>
                      <w:sz w:val="22"/>
                      <w:szCs w:val="22"/>
                      <w:lang w:eastAsia="en-US"/>
                    </w:rPr>
                    <w:t>%</w:t>
                  </w:r>
                </w:p>
              </w:tc>
              <w:tc>
                <w:tcPr>
                  <w:tcW w:w="1701" w:type="dxa"/>
                </w:tcPr>
                <w:p w14:paraId="46718FCA" w14:textId="7432B498" w:rsidR="00D572FA" w:rsidRPr="00331A82" w:rsidRDefault="001939EE" w:rsidP="00716D8F">
                  <w:pPr>
                    <w:suppressAutoHyphens w:val="0"/>
                    <w:autoSpaceDN/>
                    <w:spacing w:after="120"/>
                    <w:jc w:val="center"/>
                    <w:rPr>
                      <w:color w:val="auto"/>
                      <w:sz w:val="22"/>
                      <w:szCs w:val="22"/>
                      <w:lang w:eastAsia="en-US"/>
                    </w:rPr>
                  </w:pPr>
                  <w:r>
                    <w:rPr>
                      <w:color w:val="auto"/>
                      <w:sz w:val="22"/>
                      <w:szCs w:val="22"/>
                      <w:lang w:eastAsia="en-US"/>
                    </w:rPr>
                    <w:t>95</w:t>
                  </w:r>
                  <w:r w:rsidR="00331A82" w:rsidRPr="00331A82">
                    <w:rPr>
                      <w:color w:val="auto"/>
                      <w:sz w:val="22"/>
                      <w:szCs w:val="22"/>
                      <w:lang w:eastAsia="en-US"/>
                    </w:rPr>
                    <w:t>%</w:t>
                  </w:r>
                </w:p>
              </w:tc>
            </w:tr>
            <w:tr w:rsidR="00D572FA" w:rsidRPr="00331A82" w14:paraId="60722F2D" w14:textId="77777777" w:rsidTr="00335C6B">
              <w:tc>
                <w:tcPr>
                  <w:tcW w:w="3429" w:type="dxa"/>
                </w:tcPr>
                <w:p w14:paraId="390FCF9E" w14:textId="77777777"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Accelerated progress</w:t>
                  </w:r>
                </w:p>
              </w:tc>
              <w:tc>
                <w:tcPr>
                  <w:tcW w:w="1984" w:type="dxa"/>
                </w:tcPr>
                <w:p w14:paraId="2E9CBD63" w14:textId="3C682AD8" w:rsidR="00D572FA" w:rsidRPr="00331A82" w:rsidRDefault="001939EE" w:rsidP="00716D8F">
                  <w:pPr>
                    <w:suppressAutoHyphens w:val="0"/>
                    <w:autoSpaceDN/>
                    <w:spacing w:after="120"/>
                    <w:jc w:val="center"/>
                    <w:rPr>
                      <w:color w:val="auto"/>
                      <w:sz w:val="22"/>
                      <w:szCs w:val="22"/>
                      <w:lang w:eastAsia="en-US"/>
                    </w:rPr>
                  </w:pPr>
                  <w:r>
                    <w:rPr>
                      <w:color w:val="auto"/>
                      <w:sz w:val="22"/>
                      <w:szCs w:val="22"/>
                      <w:lang w:eastAsia="en-US"/>
                    </w:rPr>
                    <w:t>16</w:t>
                  </w:r>
                  <w:r w:rsidR="00331A82" w:rsidRPr="00331A82">
                    <w:rPr>
                      <w:color w:val="auto"/>
                      <w:sz w:val="22"/>
                      <w:szCs w:val="22"/>
                      <w:lang w:eastAsia="en-US"/>
                    </w:rPr>
                    <w:t>%</w:t>
                  </w:r>
                </w:p>
              </w:tc>
              <w:tc>
                <w:tcPr>
                  <w:tcW w:w="1701" w:type="dxa"/>
                </w:tcPr>
                <w:p w14:paraId="4E1A4266" w14:textId="5CBD8D91" w:rsidR="00D572FA" w:rsidRPr="00331A82" w:rsidRDefault="00F04D4D" w:rsidP="00716D8F">
                  <w:pPr>
                    <w:suppressAutoHyphens w:val="0"/>
                    <w:autoSpaceDN/>
                    <w:spacing w:after="120"/>
                    <w:jc w:val="center"/>
                    <w:rPr>
                      <w:color w:val="auto"/>
                      <w:sz w:val="22"/>
                      <w:szCs w:val="22"/>
                      <w:lang w:eastAsia="en-US"/>
                    </w:rPr>
                  </w:pPr>
                  <w:r>
                    <w:rPr>
                      <w:color w:val="auto"/>
                      <w:sz w:val="22"/>
                      <w:szCs w:val="22"/>
                      <w:lang w:eastAsia="en-US"/>
                    </w:rPr>
                    <w:t>1</w:t>
                  </w:r>
                  <w:r w:rsidR="001939EE">
                    <w:rPr>
                      <w:color w:val="auto"/>
                      <w:sz w:val="22"/>
                      <w:szCs w:val="22"/>
                      <w:lang w:eastAsia="en-US"/>
                    </w:rPr>
                    <w:t>3</w:t>
                  </w:r>
                  <w:r w:rsidR="00331A82" w:rsidRPr="00331A82">
                    <w:rPr>
                      <w:color w:val="auto"/>
                      <w:sz w:val="22"/>
                      <w:szCs w:val="22"/>
                      <w:lang w:eastAsia="en-US"/>
                    </w:rPr>
                    <w:t>%</w:t>
                  </w:r>
                </w:p>
              </w:tc>
            </w:tr>
          </w:tbl>
          <w:p w14:paraId="5E0F54DF" w14:textId="77777777" w:rsidR="008E1D46" w:rsidRDefault="008E1D46" w:rsidP="00F440FE">
            <w:pPr>
              <w:suppressAutoHyphens w:val="0"/>
              <w:autoSpaceDN/>
              <w:spacing w:after="120"/>
              <w:rPr>
                <w:color w:val="auto"/>
                <w:sz w:val="22"/>
                <w:szCs w:val="22"/>
                <w:lang w:eastAsia="en-US"/>
              </w:rPr>
            </w:pPr>
          </w:p>
          <w:p w14:paraId="7F512C9B" w14:textId="7E78732B" w:rsidR="00F440FE" w:rsidRDefault="00F440FE" w:rsidP="00F440FE">
            <w:pPr>
              <w:suppressAutoHyphens w:val="0"/>
              <w:autoSpaceDN/>
              <w:spacing w:after="120"/>
              <w:rPr>
                <w:color w:val="auto"/>
                <w:sz w:val="22"/>
                <w:szCs w:val="22"/>
                <w:lang w:eastAsia="en-US"/>
              </w:rPr>
            </w:pPr>
            <w:r>
              <w:rPr>
                <w:color w:val="auto"/>
                <w:sz w:val="22"/>
                <w:szCs w:val="22"/>
                <w:lang w:eastAsia="en-US"/>
              </w:rPr>
              <w:t>In reading the pupils’ eligible for pupil premium att</w:t>
            </w:r>
            <w:r w:rsidR="00BD5E67">
              <w:rPr>
                <w:color w:val="auto"/>
                <w:sz w:val="22"/>
                <w:szCs w:val="22"/>
                <w:lang w:eastAsia="en-US"/>
              </w:rPr>
              <w:t>a</w:t>
            </w:r>
            <w:r>
              <w:rPr>
                <w:color w:val="auto"/>
                <w:sz w:val="22"/>
                <w:szCs w:val="22"/>
                <w:lang w:eastAsia="en-US"/>
              </w:rPr>
              <w:t xml:space="preserve">ined lower than the figure for ‘all pupils’ but expected progress </w:t>
            </w:r>
            <w:r w:rsidR="001939EE">
              <w:rPr>
                <w:color w:val="auto"/>
                <w:sz w:val="22"/>
                <w:szCs w:val="22"/>
                <w:lang w:eastAsia="en-US"/>
              </w:rPr>
              <w:t>i</w:t>
            </w:r>
            <w:r w:rsidR="00EC098F">
              <w:rPr>
                <w:color w:val="auto"/>
                <w:sz w:val="22"/>
                <w:szCs w:val="22"/>
                <w:lang w:eastAsia="en-US"/>
              </w:rPr>
              <w:t>s</w:t>
            </w:r>
            <w:r w:rsidR="001939EE">
              <w:rPr>
                <w:color w:val="auto"/>
                <w:sz w:val="22"/>
                <w:szCs w:val="22"/>
                <w:lang w:eastAsia="en-US"/>
              </w:rPr>
              <w:t xml:space="preserve"> above </w:t>
            </w:r>
            <w:r>
              <w:rPr>
                <w:color w:val="auto"/>
                <w:sz w:val="22"/>
                <w:szCs w:val="22"/>
                <w:lang w:eastAsia="en-US"/>
              </w:rPr>
              <w:t>and accelerated prog</w:t>
            </w:r>
            <w:r w:rsidR="00F04D4D">
              <w:rPr>
                <w:color w:val="auto"/>
                <w:sz w:val="22"/>
                <w:szCs w:val="22"/>
                <w:lang w:eastAsia="en-US"/>
              </w:rPr>
              <w:t xml:space="preserve">ress are broadly in-line. </w:t>
            </w:r>
            <w:r w:rsidR="00BD5E67">
              <w:rPr>
                <w:color w:val="auto"/>
                <w:sz w:val="22"/>
                <w:szCs w:val="22"/>
                <w:lang w:eastAsia="en-US"/>
              </w:rPr>
              <w:t xml:space="preserve">  </w:t>
            </w:r>
            <w:r w:rsidR="00D90D17">
              <w:rPr>
                <w:color w:val="auto"/>
                <w:sz w:val="22"/>
                <w:szCs w:val="22"/>
                <w:lang w:eastAsia="en-US"/>
              </w:rPr>
              <w:t>1:1 phonics and reading support is planned and delivered through PPG plans and in some cases the ILP planning</w:t>
            </w:r>
            <w:r w:rsidR="00DC12D4">
              <w:rPr>
                <w:color w:val="auto"/>
                <w:sz w:val="22"/>
                <w:szCs w:val="22"/>
                <w:lang w:eastAsia="en-US"/>
              </w:rPr>
              <w:t xml:space="preserve"> overlap with this </w:t>
            </w:r>
          </w:p>
          <w:p w14:paraId="7EFBF294" w14:textId="0E517993" w:rsidR="00F440FE" w:rsidRPr="00F440FE" w:rsidRDefault="00F440FE" w:rsidP="00F440FE">
            <w:pPr>
              <w:suppressAutoHyphens w:val="0"/>
              <w:autoSpaceDN/>
              <w:spacing w:after="120"/>
              <w:rPr>
                <w:b/>
                <w:color w:val="auto"/>
                <w:sz w:val="22"/>
                <w:szCs w:val="22"/>
                <w:u w:val="single"/>
                <w:lang w:eastAsia="en-US"/>
              </w:rPr>
            </w:pPr>
            <w:r w:rsidRPr="00F440FE">
              <w:rPr>
                <w:b/>
                <w:color w:val="auto"/>
                <w:sz w:val="22"/>
                <w:szCs w:val="22"/>
                <w:u w:val="single"/>
                <w:lang w:eastAsia="en-US"/>
              </w:rPr>
              <w:lastRenderedPageBreak/>
              <w:t>Statutory Outcomes for Reading</w:t>
            </w:r>
          </w:p>
          <w:tbl>
            <w:tblPr>
              <w:tblStyle w:val="TableGrid"/>
              <w:tblpPr w:leftFromText="180" w:rightFromText="180" w:vertAnchor="text" w:horzAnchor="margin" w:tblpY="140"/>
              <w:tblOverlap w:val="never"/>
              <w:tblW w:w="0" w:type="auto"/>
              <w:tblLook w:val="04A0" w:firstRow="1" w:lastRow="0" w:firstColumn="1" w:lastColumn="0" w:noHBand="0" w:noVBand="1"/>
            </w:tblPr>
            <w:tblGrid>
              <w:gridCol w:w="3429"/>
              <w:gridCol w:w="1984"/>
              <w:gridCol w:w="1701"/>
            </w:tblGrid>
            <w:tr w:rsidR="00F440FE" w:rsidRPr="00331A82" w14:paraId="44E60374" w14:textId="77777777" w:rsidTr="0001407C">
              <w:tc>
                <w:tcPr>
                  <w:tcW w:w="3429" w:type="dxa"/>
                  <w:shd w:val="clear" w:color="auto" w:fill="BFBFBF" w:themeFill="background1" w:themeFillShade="BF"/>
                </w:tcPr>
                <w:p w14:paraId="4F1D6C56" w14:textId="77777777" w:rsidR="00F440FE" w:rsidRPr="00331A82" w:rsidRDefault="00F440FE" w:rsidP="00F440FE">
                  <w:pPr>
                    <w:suppressAutoHyphens w:val="0"/>
                    <w:autoSpaceDN/>
                    <w:spacing w:after="120"/>
                    <w:rPr>
                      <w:color w:val="auto"/>
                      <w:sz w:val="22"/>
                      <w:szCs w:val="22"/>
                      <w:lang w:eastAsia="en-US"/>
                    </w:rPr>
                  </w:pPr>
                  <w:r w:rsidRPr="00331A82">
                    <w:rPr>
                      <w:color w:val="auto"/>
                      <w:sz w:val="22"/>
                      <w:szCs w:val="22"/>
                      <w:lang w:eastAsia="en-US"/>
                    </w:rPr>
                    <w:t xml:space="preserve">Reading  </w:t>
                  </w:r>
                </w:p>
              </w:tc>
              <w:tc>
                <w:tcPr>
                  <w:tcW w:w="1984" w:type="dxa"/>
                  <w:shd w:val="clear" w:color="auto" w:fill="BFBFBF" w:themeFill="background1" w:themeFillShade="BF"/>
                </w:tcPr>
                <w:p w14:paraId="36D1F38A" w14:textId="77777777" w:rsidR="00F440FE" w:rsidRPr="00331A82" w:rsidRDefault="00F440FE" w:rsidP="00716D8F">
                  <w:pPr>
                    <w:suppressAutoHyphens w:val="0"/>
                    <w:autoSpaceDN/>
                    <w:spacing w:after="120"/>
                    <w:jc w:val="center"/>
                    <w:rPr>
                      <w:color w:val="auto"/>
                      <w:sz w:val="22"/>
                      <w:szCs w:val="22"/>
                      <w:lang w:eastAsia="en-US"/>
                    </w:rPr>
                  </w:pPr>
                  <w:r w:rsidRPr="00331A82">
                    <w:rPr>
                      <w:color w:val="auto"/>
                      <w:sz w:val="22"/>
                      <w:szCs w:val="22"/>
                      <w:lang w:eastAsia="en-US"/>
                    </w:rPr>
                    <w:t>All pupils</w:t>
                  </w:r>
                </w:p>
              </w:tc>
              <w:tc>
                <w:tcPr>
                  <w:tcW w:w="1701" w:type="dxa"/>
                  <w:shd w:val="clear" w:color="auto" w:fill="BFBFBF" w:themeFill="background1" w:themeFillShade="BF"/>
                </w:tcPr>
                <w:p w14:paraId="2F78B5DF" w14:textId="77777777" w:rsidR="00F440FE" w:rsidRPr="00331A82" w:rsidRDefault="00F440FE" w:rsidP="00716D8F">
                  <w:pPr>
                    <w:suppressAutoHyphens w:val="0"/>
                    <w:autoSpaceDN/>
                    <w:spacing w:after="120"/>
                    <w:jc w:val="center"/>
                    <w:rPr>
                      <w:color w:val="auto"/>
                      <w:sz w:val="22"/>
                      <w:szCs w:val="22"/>
                      <w:lang w:eastAsia="en-US"/>
                    </w:rPr>
                  </w:pPr>
                  <w:r w:rsidRPr="00331A82">
                    <w:rPr>
                      <w:color w:val="auto"/>
                      <w:sz w:val="22"/>
                      <w:szCs w:val="22"/>
                      <w:lang w:eastAsia="en-US"/>
                    </w:rPr>
                    <w:t>PPG</w:t>
                  </w:r>
                </w:p>
              </w:tc>
            </w:tr>
            <w:tr w:rsidR="00F440FE" w:rsidRPr="00331A82" w14:paraId="309EDFDE" w14:textId="77777777" w:rsidTr="00F440FE">
              <w:tc>
                <w:tcPr>
                  <w:tcW w:w="3429" w:type="dxa"/>
                </w:tcPr>
                <w:p w14:paraId="471F5201" w14:textId="77777777" w:rsidR="00F440FE" w:rsidRPr="00331A82" w:rsidRDefault="00F440FE" w:rsidP="00F440FE">
                  <w:pPr>
                    <w:suppressAutoHyphens w:val="0"/>
                    <w:autoSpaceDN/>
                    <w:spacing w:after="120"/>
                    <w:rPr>
                      <w:color w:val="auto"/>
                      <w:sz w:val="22"/>
                      <w:szCs w:val="22"/>
                      <w:lang w:eastAsia="en-US"/>
                    </w:rPr>
                  </w:pPr>
                  <w:r w:rsidRPr="00331A82">
                    <w:rPr>
                      <w:color w:val="auto"/>
                      <w:sz w:val="22"/>
                      <w:szCs w:val="22"/>
                      <w:lang w:eastAsia="en-US"/>
                    </w:rPr>
                    <w:t xml:space="preserve">ELG </w:t>
                  </w:r>
                </w:p>
              </w:tc>
              <w:tc>
                <w:tcPr>
                  <w:tcW w:w="1984" w:type="dxa"/>
                </w:tcPr>
                <w:p w14:paraId="1799DA8A" w14:textId="1D79F27E" w:rsidR="00F440FE" w:rsidRPr="00331A82" w:rsidRDefault="00211869" w:rsidP="00716D8F">
                  <w:pPr>
                    <w:suppressAutoHyphens w:val="0"/>
                    <w:autoSpaceDN/>
                    <w:spacing w:after="120"/>
                    <w:jc w:val="center"/>
                    <w:rPr>
                      <w:color w:val="auto"/>
                      <w:sz w:val="22"/>
                      <w:szCs w:val="22"/>
                      <w:lang w:eastAsia="en-US"/>
                    </w:rPr>
                  </w:pPr>
                  <w:r>
                    <w:rPr>
                      <w:color w:val="auto"/>
                      <w:sz w:val="22"/>
                      <w:szCs w:val="22"/>
                      <w:lang w:eastAsia="en-US"/>
                    </w:rPr>
                    <w:t>7</w:t>
                  </w:r>
                  <w:r w:rsidR="00B73191">
                    <w:rPr>
                      <w:color w:val="auto"/>
                      <w:sz w:val="22"/>
                      <w:szCs w:val="22"/>
                      <w:lang w:eastAsia="en-US"/>
                    </w:rPr>
                    <w:t>7</w:t>
                  </w:r>
                  <w:r w:rsidR="00F440FE">
                    <w:rPr>
                      <w:color w:val="auto"/>
                      <w:sz w:val="22"/>
                      <w:szCs w:val="22"/>
                      <w:lang w:eastAsia="en-US"/>
                    </w:rPr>
                    <w:t>%</w:t>
                  </w:r>
                </w:p>
              </w:tc>
              <w:tc>
                <w:tcPr>
                  <w:tcW w:w="1701" w:type="dxa"/>
                </w:tcPr>
                <w:p w14:paraId="0461A260" w14:textId="39560B5F" w:rsidR="00F440FE" w:rsidRPr="00331A82" w:rsidRDefault="00B73191" w:rsidP="00716D8F">
                  <w:pPr>
                    <w:suppressAutoHyphens w:val="0"/>
                    <w:autoSpaceDN/>
                    <w:spacing w:after="120"/>
                    <w:jc w:val="center"/>
                    <w:rPr>
                      <w:color w:val="auto"/>
                      <w:sz w:val="22"/>
                      <w:szCs w:val="22"/>
                      <w:lang w:eastAsia="en-US"/>
                    </w:rPr>
                  </w:pPr>
                  <w:r>
                    <w:rPr>
                      <w:color w:val="auto"/>
                      <w:sz w:val="22"/>
                      <w:szCs w:val="22"/>
                      <w:lang w:eastAsia="en-US"/>
                    </w:rPr>
                    <w:t>50</w:t>
                  </w:r>
                  <w:r w:rsidR="00F440FE">
                    <w:rPr>
                      <w:color w:val="auto"/>
                      <w:sz w:val="22"/>
                      <w:szCs w:val="22"/>
                      <w:lang w:eastAsia="en-US"/>
                    </w:rPr>
                    <w:t>%</w:t>
                  </w:r>
                </w:p>
              </w:tc>
            </w:tr>
            <w:tr w:rsidR="00F440FE" w:rsidRPr="00331A82" w14:paraId="3AD1A8FF" w14:textId="77777777" w:rsidTr="00F440FE">
              <w:tc>
                <w:tcPr>
                  <w:tcW w:w="3429" w:type="dxa"/>
                </w:tcPr>
                <w:p w14:paraId="59FF1AD1" w14:textId="77777777" w:rsidR="00F440FE" w:rsidRPr="00331A82" w:rsidRDefault="00F440FE" w:rsidP="00F440FE">
                  <w:pPr>
                    <w:suppressAutoHyphens w:val="0"/>
                    <w:autoSpaceDN/>
                    <w:spacing w:after="120"/>
                    <w:rPr>
                      <w:color w:val="auto"/>
                      <w:sz w:val="22"/>
                      <w:szCs w:val="22"/>
                      <w:lang w:eastAsia="en-US"/>
                    </w:rPr>
                  </w:pPr>
                  <w:r w:rsidRPr="00331A82">
                    <w:rPr>
                      <w:color w:val="auto"/>
                      <w:sz w:val="22"/>
                      <w:szCs w:val="22"/>
                      <w:lang w:eastAsia="en-US"/>
                    </w:rPr>
                    <w:t>Phonics Y1</w:t>
                  </w:r>
                </w:p>
              </w:tc>
              <w:tc>
                <w:tcPr>
                  <w:tcW w:w="1984" w:type="dxa"/>
                </w:tcPr>
                <w:p w14:paraId="2AB4B598" w14:textId="5330D831" w:rsidR="00F440FE" w:rsidRPr="00331A82" w:rsidRDefault="00084554" w:rsidP="00716D8F">
                  <w:pPr>
                    <w:suppressAutoHyphens w:val="0"/>
                    <w:autoSpaceDN/>
                    <w:spacing w:after="120"/>
                    <w:jc w:val="center"/>
                    <w:rPr>
                      <w:color w:val="auto"/>
                      <w:sz w:val="22"/>
                      <w:szCs w:val="22"/>
                      <w:lang w:eastAsia="en-US"/>
                    </w:rPr>
                  </w:pPr>
                  <w:r>
                    <w:rPr>
                      <w:color w:val="auto"/>
                      <w:sz w:val="22"/>
                      <w:szCs w:val="22"/>
                      <w:lang w:eastAsia="en-US"/>
                    </w:rPr>
                    <w:t>73</w:t>
                  </w:r>
                  <w:r w:rsidR="00F440FE">
                    <w:rPr>
                      <w:color w:val="auto"/>
                      <w:sz w:val="22"/>
                      <w:szCs w:val="22"/>
                      <w:lang w:eastAsia="en-US"/>
                    </w:rPr>
                    <w:t>%</w:t>
                  </w:r>
                </w:p>
              </w:tc>
              <w:tc>
                <w:tcPr>
                  <w:tcW w:w="1701" w:type="dxa"/>
                </w:tcPr>
                <w:p w14:paraId="71A750BF" w14:textId="536FEBBC" w:rsidR="00F440FE" w:rsidRPr="00331A82" w:rsidRDefault="0068172B" w:rsidP="00716D8F">
                  <w:pPr>
                    <w:suppressAutoHyphens w:val="0"/>
                    <w:autoSpaceDN/>
                    <w:spacing w:after="120"/>
                    <w:jc w:val="center"/>
                    <w:rPr>
                      <w:color w:val="auto"/>
                      <w:sz w:val="22"/>
                      <w:szCs w:val="22"/>
                      <w:lang w:eastAsia="en-US"/>
                    </w:rPr>
                  </w:pPr>
                  <w:r>
                    <w:rPr>
                      <w:color w:val="auto"/>
                      <w:sz w:val="22"/>
                      <w:szCs w:val="22"/>
                      <w:lang w:eastAsia="en-US"/>
                    </w:rPr>
                    <w:t>40</w:t>
                  </w:r>
                  <w:r w:rsidR="00F440FE">
                    <w:rPr>
                      <w:color w:val="auto"/>
                      <w:sz w:val="22"/>
                      <w:szCs w:val="22"/>
                      <w:lang w:eastAsia="en-US"/>
                    </w:rPr>
                    <w:t>%</w:t>
                  </w:r>
                </w:p>
              </w:tc>
            </w:tr>
            <w:tr w:rsidR="00F440FE" w:rsidRPr="00331A82" w14:paraId="258CB1B5" w14:textId="77777777" w:rsidTr="00F440FE">
              <w:tc>
                <w:tcPr>
                  <w:tcW w:w="3429" w:type="dxa"/>
                </w:tcPr>
                <w:p w14:paraId="184D10FC" w14:textId="77777777" w:rsidR="00F440FE" w:rsidRPr="00331A82" w:rsidRDefault="00F440FE" w:rsidP="00F440FE">
                  <w:pPr>
                    <w:suppressAutoHyphens w:val="0"/>
                    <w:autoSpaceDN/>
                    <w:spacing w:after="120"/>
                    <w:rPr>
                      <w:color w:val="auto"/>
                      <w:sz w:val="22"/>
                      <w:szCs w:val="22"/>
                      <w:lang w:eastAsia="en-US"/>
                    </w:rPr>
                  </w:pPr>
                  <w:r w:rsidRPr="00331A82">
                    <w:rPr>
                      <w:color w:val="auto"/>
                      <w:sz w:val="22"/>
                      <w:szCs w:val="22"/>
                      <w:lang w:eastAsia="en-US"/>
                    </w:rPr>
                    <w:t xml:space="preserve">Phonics Retakes </w:t>
                  </w:r>
                </w:p>
              </w:tc>
              <w:tc>
                <w:tcPr>
                  <w:tcW w:w="1984" w:type="dxa"/>
                </w:tcPr>
                <w:p w14:paraId="5F915EEC" w14:textId="14688CEB" w:rsidR="00F440FE" w:rsidRPr="00331A82" w:rsidRDefault="004F6C38" w:rsidP="00716D8F">
                  <w:pPr>
                    <w:suppressAutoHyphens w:val="0"/>
                    <w:autoSpaceDN/>
                    <w:spacing w:after="120"/>
                    <w:jc w:val="center"/>
                    <w:rPr>
                      <w:color w:val="auto"/>
                      <w:sz w:val="22"/>
                      <w:szCs w:val="22"/>
                      <w:lang w:eastAsia="en-US"/>
                    </w:rPr>
                  </w:pPr>
                  <w:r>
                    <w:rPr>
                      <w:color w:val="auto"/>
                      <w:sz w:val="22"/>
                      <w:szCs w:val="22"/>
                      <w:lang w:eastAsia="en-US"/>
                    </w:rPr>
                    <w:t>50</w:t>
                  </w:r>
                  <w:r w:rsidR="00F440FE">
                    <w:rPr>
                      <w:color w:val="auto"/>
                      <w:sz w:val="22"/>
                      <w:szCs w:val="22"/>
                      <w:lang w:eastAsia="en-US"/>
                    </w:rPr>
                    <w:t>%</w:t>
                  </w:r>
                </w:p>
              </w:tc>
              <w:tc>
                <w:tcPr>
                  <w:tcW w:w="1701" w:type="dxa"/>
                </w:tcPr>
                <w:p w14:paraId="66F37998" w14:textId="331D7F5D" w:rsidR="00F440FE" w:rsidRPr="00331A82" w:rsidRDefault="004F6C38" w:rsidP="00716D8F">
                  <w:pPr>
                    <w:suppressAutoHyphens w:val="0"/>
                    <w:autoSpaceDN/>
                    <w:spacing w:after="120"/>
                    <w:jc w:val="center"/>
                    <w:rPr>
                      <w:color w:val="auto"/>
                      <w:sz w:val="22"/>
                      <w:szCs w:val="22"/>
                      <w:lang w:eastAsia="en-US"/>
                    </w:rPr>
                  </w:pPr>
                  <w:r>
                    <w:rPr>
                      <w:color w:val="auto"/>
                      <w:sz w:val="22"/>
                      <w:szCs w:val="22"/>
                      <w:lang w:eastAsia="en-US"/>
                    </w:rPr>
                    <w:t>50</w:t>
                  </w:r>
                  <w:r w:rsidR="00F440FE">
                    <w:rPr>
                      <w:color w:val="auto"/>
                      <w:sz w:val="22"/>
                      <w:szCs w:val="22"/>
                      <w:lang w:eastAsia="en-US"/>
                    </w:rPr>
                    <w:t>%</w:t>
                  </w:r>
                </w:p>
              </w:tc>
            </w:tr>
            <w:tr w:rsidR="00F440FE" w:rsidRPr="00331A82" w14:paraId="17B1491B" w14:textId="77777777" w:rsidTr="00F440FE">
              <w:tc>
                <w:tcPr>
                  <w:tcW w:w="3429" w:type="dxa"/>
                </w:tcPr>
                <w:p w14:paraId="218A3F67" w14:textId="1B8A4E57" w:rsidR="00F440FE" w:rsidRPr="00331A82" w:rsidRDefault="00F440FE" w:rsidP="00F440FE">
                  <w:pPr>
                    <w:suppressAutoHyphens w:val="0"/>
                    <w:autoSpaceDN/>
                    <w:spacing w:after="120"/>
                    <w:rPr>
                      <w:color w:val="auto"/>
                      <w:sz w:val="22"/>
                      <w:szCs w:val="22"/>
                      <w:lang w:eastAsia="en-US"/>
                    </w:rPr>
                  </w:pPr>
                  <w:r w:rsidRPr="00331A82">
                    <w:rPr>
                      <w:color w:val="auto"/>
                      <w:sz w:val="22"/>
                      <w:szCs w:val="22"/>
                      <w:lang w:eastAsia="en-US"/>
                    </w:rPr>
                    <w:t>Attainment at Y2</w:t>
                  </w:r>
                  <w:r w:rsidR="00FB6ED1">
                    <w:rPr>
                      <w:color w:val="auto"/>
                      <w:sz w:val="22"/>
                      <w:szCs w:val="22"/>
                      <w:lang w:eastAsia="en-US"/>
                    </w:rPr>
                    <w:t xml:space="preserve"> (Not statutory)</w:t>
                  </w:r>
                </w:p>
              </w:tc>
              <w:tc>
                <w:tcPr>
                  <w:tcW w:w="1984" w:type="dxa"/>
                </w:tcPr>
                <w:p w14:paraId="4FAF134E" w14:textId="3806136E" w:rsidR="00F440FE" w:rsidRPr="00331A82" w:rsidRDefault="005A0750" w:rsidP="00716D8F">
                  <w:pPr>
                    <w:suppressAutoHyphens w:val="0"/>
                    <w:autoSpaceDN/>
                    <w:spacing w:after="120"/>
                    <w:jc w:val="center"/>
                    <w:rPr>
                      <w:color w:val="auto"/>
                      <w:sz w:val="22"/>
                      <w:szCs w:val="22"/>
                      <w:lang w:eastAsia="en-US"/>
                    </w:rPr>
                  </w:pPr>
                  <w:r>
                    <w:rPr>
                      <w:color w:val="auto"/>
                      <w:sz w:val="22"/>
                      <w:szCs w:val="22"/>
                      <w:lang w:eastAsia="en-US"/>
                    </w:rPr>
                    <w:t>69</w:t>
                  </w:r>
                  <w:r w:rsidR="00F440FE">
                    <w:rPr>
                      <w:color w:val="auto"/>
                      <w:sz w:val="22"/>
                      <w:szCs w:val="22"/>
                      <w:lang w:eastAsia="en-US"/>
                    </w:rPr>
                    <w:t>%</w:t>
                  </w:r>
                </w:p>
              </w:tc>
              <w:tc>
                <w:tcPr>
                  <w:tcW w:w="1701" w:type="dxa"/>
                </w:tcPr>
                <w:p w14:paraId="0A847CB8" w14:textId="22B512D0" w:rsidR="00F440FE" w:rsidRPr="00331A82" w:rsidRDefault="005A0750" w:rsidP="00716D8F">
                  <w:pPr>
                    <w:suppressAutoHyphens w:val="0"/>
                    <w:autoSpaceDN/>
                    <w:spacing w:after="120"/>
                    <w:jc w:val="center"/>
                    <w:rPr>
                      <w:color w:val="auto"/>
                      <w:sz w:val="22"/>
                      <w:szCs w:val="22"/>
                      <w:lang w:eastAsia="en-US"/>
                    </w:rPr>
                  </w:pPr>
                  <w:r>
                    <w:rPr>
                      <w:color w:val="auto"/>
                      <w:sz w:val="22"/>
                      <w:szCs w:val="22"/>
                      <w:lang w:eastAsia="en-US"/>
                    </w:rPr>
                    <w:t>57</w:t>
                  </w:r>
                  <w:r w:rsidR="00F440FE">
                    <w:rPr>
                      <w:color w:val="auto"/>
                      <w:sz w:val="22"/>
                      <w:szCs w:val="22"/>
                      <w:lang w:eastAsia="en-US"/>
                    </w:rPr>
                    <w:t>%</w:t>
                  </w:r>
                </w:p>
              </w:tc>
            </w:tr>
            <w:tr w:rsidR="00AD49C4" w:rsidRPr="00331A82" w14:paraId="6A345EE7" w14:textId="77777777" w:rsidTr="00F440FE">
              <w:tc>
                <w:tcPr>
                  <w:tcW w:w="3429" w:type="dxa"/>
                </w:tcPr>
                <w:p w14:paraId="4D72616A" w14:textId="027174BA" w:rsidR="00AD49C4" w:rsidRPr="00331A82" w:rsidRDefault="00AD49C4" w:rsidP="00F440FE">
                  <w:pPr>
                    <w:suppressAutoHyphens w:val="0"/>
                    <w:autoSpaceDN/>
                    <w:spacing w:after="120"/>
                    <w:rPr>
                      <w:color w:val="auto"/>
                      <w:sz w:val="22"/>
                      <w:szCs w:val="22"/>
                      <w:lang w:eastAsia="en-US"/>
                    </w:rPr>
                  </w:pPr>
                  <w:r>
                    <w:rPr>
                      <w:color w:val="auto"/>
                      <w:sz w:val="22"/>
                      <w:szCs w:val="22"/>
                      <w:lang w:eastAsia="en-US"/>
                    </w:rPr>
                    <w:t>Attainment at Y6</w:t>
                  </w:r>
                </w:p>
              </w:tc>
              <w:tc>
                <w:tcPr>
                  <w:tcW w:w="1984" w:type="dxa"/>
                </w:tcPr>
                <w:p w14:paraId="380FECE9" w14:textId="611333D4" w:rsidR="00AD49C4" w:rsidRDefault="00AD49C4" w:rsidP="00716D8F">
                  <w:pPr>
                    <w:suppressAutoHyphens w:val="0"/>
                    <w:autoSpaceDN/>
                    <w:spacing w:after="120"/>
                    <w:jc w:val="center"/>
                    <w:rPr>
                      <w:color w:val="auto"/>
                      <w:sz w:val="22"/>
                      <w:szCs w:val="22"/>
                      <w:lang w:eastAsia="en-US"/>
                    </w:rPr>
                  </w:pPr>
                  <w:r>
                    <w:rPr>
                      <w:color w:val="auto"/>
                      <w:sz w:val="22"/>
                      <w:szCs w:val="22"/>
                      <w:lang w:eastAsia="en-US"/>
                    </w:rPr>
                    <w:t>70%</w:t>
                  </w:r>
                </w:p>
              </w:tc>
              <w:tc>
                <w:tcPr>
                  <w:tcW w:w="1701" w:type="dxa"/>
                </w:tcPr>
                <w:p w14:paraId="56007279" w14:textId="50C41674" w:rsidR="00AD49C4" w:rsidRDefault="005A0750" w:rsidP="00716D8F">
                  <w:pPr>
                    <w:suppressAutoHyphens w:val="0"/>
                    <w:autoSpaceDN/>
                    <w:spacing w:after="120"/>
                    <w:jc w:val="center"/>
                    <w:rPr>
                      <w:color w:val="auto"/>
                      <w:sz w:val="22"/>
                      <w:szCs w:val="22"/>
                      <w:lang w:eastAsia="en-US"/>
                    </w:rPr>
                  </w:pPr>
                  <w:r>
                    <w:rPr>
                      <w:color w:val="auto"/>
                      <w:sz w:val="22"/>
                      <w:szCs w:val="22"/>
                      <w:lang w:eastAsia="en-US"/>
                    </w:rPr>
                    <w:t>57</w:t>
                  </w:r>
                  <w:r w:rsidR="00AD49C4">
                    <w:rPr>
                      <w:color w:val="auto"/>
                      <w:sz w:val="22"/>
                      <w:szCs w:val="22"/>
                      <w:lang w:eastAsia="en-US"/>
                    </w:rPr>
                    <w:t>%</w:t>
                  </w:r>
                </w:p>
              </w:tc>
            </w:tr>
          </w:tbl>
          <w:p w14:paraId="2FD6AA0F" w14:textId="77777777" w:rsidR="00F440FE" w:rsidRDefault="00F440FE"/>
          <w:p w14:paraId="60613CA2" w14:textId="57B3029E" w:rsidR="00D572FA" w:rsidRPr="00331A82" w:rsidRDefault="00D572FA" w:rsidP="00676605">
            <w:pPr>
              <w:suppressAutoHyphens w:val="0"/>
              <w:autoSpaceDN/>
              <w:spacing w:after="120"/>
              <w:rPr>
                <w:color w:val="auto"/>
                <w:sz w:val="22"/>
                <w:szCs w:val="22"/>
                <w:lang w:eastAsia="en-US"/>
              </w:rPr>
            </w:pPr>
          </w:p>
          <w:p w14:paraId="73FB8E50" w14:textId="63266711" w:rsidR="00D572FA" w:rsidRPr="00331A82" w:rsidRDefault="00D572FA" w:rsidP="00676605">
            <w:pPr>
              <w:suppressAutoHyphens w:val="0"/>
              <w:autoSpaceDN/>
              <w:spacing w:after="120"/>
              <w:rPr>
                <w:color w:val="auto"/>
                <w:sz w:val="22"/>
                <w:szCs w:val="22"/>
                <w:lang w:eastAsia="en-US"/>
              </w:rPr>
            </w:pPr>
          </w:p>
          <w:p w14:paraId="534CD2BD" w14:textId="7F6976C5" w:rsidR="00D572FA" w:rsidRPr="00331A82" w:rsidRDefault="00D572FA" w:rsidP="00676605">
            <w:pPr>
              <w:suppressAutoHyphens w:val="0"/>
              <w:autoSpaceDN/>
              <w:spacing w:after="120"/>
              <w:rPr>
                <w:color w:val="auto"/>
                <w:sz w:val="22"/>
                <w:szCs w:val="22"/>
                <w:lang w:eastAsia="en-US"/>
              </w:rPr>
            </w:pPr>
          </w:p>
          <w:p w14:paraId="78723D49" w14:textId="77777777" w:rsidR="00D572FA" w:rsidRPr="00331A82" w:rsidRDefault="00D572FA" w:rsidP="00676605">
            <w:pPr>
              <w:suppressAutoHyphens w:val="0"/>
              <w:autoSpaceDN/>
              <w:spacing w:after="120"/>
              <w:rPr>
                <w:color w:val="auto"/>
                <w:sz w:val="22"/>
                <w:szCs w:val="22"/>
                <w:lang w:eastAsia="en-US"/>
              </w:rPr>
            </w:pPr>
          </w:p>
          <w:p w14:paraId="181ED731" w14:textId="3F05DF70" w:rsidR="00F440FE" w:rsidRDefault="00F440FE" w:rsidP="00676605">
            <w:pPr>
              <w:suppressAutoHyphens w:val="0"/>
              <w:autoSpaceDN/>
              <w:spacing w:after="120"/>
              <w:rPr>
                <w:color w:val="auto"/>
                <w:sz w:val="22"/>
                <w:szCs w:val="22"/>
                <w:lang w:eastAsia="en-US"/>
              </w:rPr>
            </w:pPr>
          </w:p>
          <w:p w14:paraId="3C4A4A79" w14:textId="77777777" w:rsidR="00F440FE" w:rsidRDefault="00F440FE" w:rsidP="00676605">
            <w:pPr>
              <w:suppressAutoHyphens w:val="0"/>
              <w:autoSpaceDN/>
              <w:spacing w:after="120"/>
              <w:rPr>
                <w:color w:val="auto"/>
                <w:sz w:val="22"/>
                <w:szCs w:val="22"/>
                <w:lang w:eastAsia="en-US"/>
              </w:rPr>
            </w:pPr>
          </w:p>
          <w:p w14:paraId="58754AD7" w14:textId="35876B0A" w:rsidR="00BD5E67" w:rsidRPr="0068172B" w:rsidRDefault="00F04D4D" w:rsidP="00716D8F">
            <w:pPr>
              <w:suppressAutoHyphens w:val="0"/>
              <w:autoSpaceDN/>
              <w:spacing w:after="120"/>
              <w:jc w:val="both"/>
              <w:rPr>
                <w:color w:val="auto"/>
                <w:sz w:val="22"/>
                <w:szCs w:val="22"/>
                <w:lang w:eastAsia="en-US"/>
              </w:rPr>
            </w:pPr>
            <w:r>
              <w:rPr>
                <w:color w:val="auto"/>
                <w:sz w:val="22"/>
                <w:szCs w:val="22"/>
                <w:lang w:eastAsia="en-US"/>
              </w:rPr>
              <w:t>Of the</w:t>
            </w:r>
            <w:r w:rsidR="00F440FE">
              <w:rPr>
                <w:color w:val="auto"/>
                <w:sz w:val="22"/>
                <w:szCs w:val="22"/>
                <w:lang w:eastAsia="en-US"/>
              </w:rPr>
              <w:t xml:space="preserve"> </w:t>
            </w:r>
            <w:r w:rsidR="00BD5E67">
              <w:rPr>
                <w:color w:val="auto"/>
                <w:sz w:val="22"/>
                <w:szCs w:val="22"/>
                <w:lang w:eastAsia="en-US"/>
              </w:rPr>
              <w:t>disadvantaged</w:t>
            </w:r>
            <w:r w:rsidR="00F440FE">
              <w:rPr>
                <w:color w:val="auto"/>
                <w:sz w:val="22"/>
                <w:szCs w:val="22"/>
                <w:lang w:eastAsia="en-US"/>
              </w:rPr>
              <w:t xml:space="preserve"> </w:t>
            </w:r>
            <w:r w:rsidR="00BD5E67">
              <w:rPr>
                <w:color w:val="auto"/>
                <w:sz w:val="22"/>
                <w:szCs w:val="22"/>
                <w:lang w:eastAsia="en-US"/>
              </w:rPr>
              <w:t>pupil</w:t>
            </w:r>
            <w:r w:rsidR="00F440FE">
              <w:rPr>
                <w:color w:val="auto"/>
                <w:sz w:val="22"/>
                <w:szCs w:val="22"/>
                <w:lang w:eastAsia="en-US"/>
              </w:rPr>
              <w:t>s</w:t>
            </w:r>
            <w:r w:rsidR="00BD5E67">
              <w:rPr>
                <w:color w:val="auto"/>
                <w:sz w:val="22"/>
                <w:szCs w:val="22"/>
                <w:lang w:eastAsia="en-US"/>
              </w:rPr>
              <w:t xml:space="preserve"> </w:t>
            </w:r>
            <w:r w:rsidR="00F440FE">
              <w:rPr>
                <w:color w:val="auto"/>
                <w:sz w:val="22"/>
                <w:szCs w:val="22"/>
                <w:lang w:eastAsia="en-US"/>
              </w:rPr>
              <w:t xml:space="preserve">in Early Years </w:t>
            </w:r>
            <w:r w:rsidR="00211869">
              <w:rPr>
                <w:color w:val="auto"/>
                <w:sz w:val="22"/>
                <w:szCs w:val="22"/>
                <w:lang w:eastAsia="en-US"/>
              </w:rPr>
              <w:t>(</w:t>
            </w:r>
            <w:r w:rsidR="00BB66FD">
              <w:rPr>
                <w:color w:val="auto"/>
                <w:sz w:val="22"/>
                <w:szCs w:val="22"/>
                <w:lang w:eastAsia="en-US"/>
              </w:rPr>
              <w:t>4</w:t>
            </w:r>
            <w:r w:rsidR="00211869">
              <w:rPr>
                <w:color w:val="auto"/>
                <w:sz w:val="22"/>
                <w:szCs w:val="22"/>
                <w:lang w:eastAsia="en-US"/>
              </w:rPr>
              <w:t xml:space="preserve"> pupils) </w:t>
            </w:r>
            <w:r w:rsidR="00BB66FD">
              <w:rPr>
                <w:color w:val="auto"/>
                <w:sz w:val="22"/>
                <w:szCs w:val="22"/>
                <w:lang w:eastAsia="en-US"/>
              </w:rPr>
              <w:t>2</w:t>
            </w:r>
            <w:r w:rsidR="00211869">
              <w:rPr>
                <w:color w:val="auto"/>
                <w:sz w:val="22"/>
                <w:szCs w:val="22"/>
                <w:lang w:eastAsia="en-US"/>
              </w:rPr>
              <w:t xml:space="preserve"> achieved ELG in reading. </w:t>
            </w:r>
            <w:r w:rsidR="00F440FE">
              <w:rPr>
                <w:color w:val="auto"/>
                <w:sz w:val="22"/>
                <w:szCs w:val="22"/>
                <w:lang w:eastAsia="en-US"/>
              </w:rPr>
              <w:t xml:space="preserve">Early reading, along with communication and language, are </w:t>
            </w:r>
            <w:r w:rsidR="00BD5E67">
              <w:rPr>
                <w:color w:val="auto"/>
                <w:sz w:val="22"/>
                <w:szCs w:val="22"/>
                <w:lang w:eastAsia="en-US"/>
              </w:rPr>
              <w:t>always prioritised</w:t>
            </w:r>
            <w:r w:rsidR="00F440FE">
              <w:rPr>
                <w:color w:val="auto"/>
                <w:sz w:val="22"/>
                <w:szCs w:val="22"/>
                <w:lang w:eastAsia="en-US"/>
              </w:rPr>
              <w:t xml:space="preserve"> in the EY curriculum </w:t>
            </w:r>
            <w:r w:rsidR="00211869">
              <w:rPr>
                <w:color w:val="auto"/>
                <w:sz w:val="22"/>
                <w:szCs w:val="22"/>
                <w:lang w:eastAsia="en-US"/>
              </w:rPr>
              <w:t>and the overall percentage of 7</w:t>
            </w:r>
            <w:r w:rsidR="00BB66FD">
              <w:rPr>
                <w:color w:val="auto"/>
                <w:sz w:val="22"/>
                <w:szCs w:val="22"/>
                <w:lang w:eastAsia="en-US"/>
              </w:rPr>
              <w:t>7</w:t>
            </w:r>
            <w:r w:rsidR="00211869">
              <w:rPr>
                <w:color w:val="auto"/>
                <w:sz w:val="22"/>
                <w:szCs w:val="22"/>
                <w:lang w:eastAsia="en-US"/>
              </w:rPr>
              <w:t xml:space="preserve">% </w:t>
            </w:r>
            <w:r w:rsidR="00211869" w:rsidRPr="0068172B">
              <w:rPr>
                <w:color w:val="auto"/>
                <w:sz w:val="22"/>
                <w:szCs w:val="22"/>
                <w:lang w:eastAsia="en-US"/>
              </w:rPr>
              <w:t xml:space="preserve">represent good progress from the low baseline.  </w:t>
            </w:r>
          </w:p>
          <w:p w14:paraId="72DA8339" w14:textId="4F2A5FE4" w:rsidR="00F440FE" w:rsidRPr="00422AA8" w:rsidRDefault="00BD5E67" w:rsidP="00716D8F">
            <w:pPr>
              <w:suppressAutoHyphens w:val="0"/>
              <w:autoSpaceDN/>
              <w:spacing w:after="120"/>
              <w:jc w:val="both"/>
              <w:rPr>
                <w:color w:val="auto"/>
                <w:sz w:val="22"/>
                <w:szCs w:val="22"/>
                <w:lang w:eastAsia="en-US"/>
              </w:rPr>
            </w:pPr>
            <w:r w:rsidRPr="0068172B">
              <w:rPr>
                <w:color w:val="auto"/>
                <w:sz w:val="22"/>
                <w:szCs w:val="22"/>
                <w:lang w:eastAsia="en-US"/>
              </w:rPr>
              <w:t>Year 1 phonic outcomes</w:t>
            </w:r>
            <w:r w:rsidR="00F440FE" w:rsidRPr="0068172B">
              <w:rPr>
                <w:color w:val="auto"/>
                <w:sz w:val="22"/>
                <w:szCs w:val="22"/>
                <w:lang w:eastAsia="en-US"/>
              </w:rPr>
              <w:t xml:space="preserve"> for</w:t>
            </w:r>
            <w:r w:rsidRPr="0068172B">
              <w:rPr>
                <w:color w:val="auto"/>
                <w:sz w:val="22"/>
                <w:szCs w:val="22"/>
                <w:lang w:eastAsia="en-US"/>
              </w:rPr>
              <w:t xml:space="preserve"> disadvantaged pupil</w:t>
            </w:r>
            <w:r w:rsidR="00F440FE" w:rsidRPr="0068172B">
              <w:rPr>
                <w:color w:val="auto"/>
                <w:sz w:val="22"/>
                <w:szCs w:val="22"/>
                <w:lang w:eastAsia="en-US"/>
              </w:rPr>
              <w:t>s</w:t>
            </w:r>
            <w:r w:rsidRPr="0068172B">
              <w:rPr>
                <w:color w:val="auto"/>
                <w:sz w:val="22"/>
                <w:szCs w:val="22"/>
                <w:lang w:eastAsia="en-US"/>
              </w:rPr>
              <w:t xml:space="preserve"> </w:t>
            </w:r>
            <w:r w:rsidR="0068172B" w:rsidRPr="0068172B">
              <w:rPr>
                <w:color w:val="auto"/>
                <w:sz w:val="22"/>
                <w:szCs w:val="22"/>
                <w:lang w:eastAsia="en-US"/>
              </w:rPr>
              <w:t xml:space="preserve">are lower than for all pupils. </w:t>
            </w:r>
            <w:r w:rsidR="00211869" w:rsidRPr="0068172B">
              <w:rPr>
                <w:color w:val="auto"/>
                <w:sz w:val="22"/>
                <w:szCs w:val="22"/>
                <w:lang w:eastAsia="en-US"/>
              </w:rPr>
              <w:t>This</w:t>
            </w:r>
            <w:r w:rsidR="00F440FE" w:rsidRPr="0068172B">
              <w:rPr>
                <w:color w:val="auto"/>
                <w:sz w:val="22"/>
                <w:szCs w:val="22"/>
                <w:lang w:eastAsia="en-US"/>
              </w:rPr>
              <w:t xml:space="preserve"> will continue to be monitored through differentiated phonics groups</w:t>
            </w:r>
            <w:r w:rsidRPr="0068172B">
              <w:rPr>
                <w:color w:val="auto"/>
                <w:sz w:val="22"/>
                <w:szCs w:val="22"/>
                <w:lang w:eastAsia="en-US"/>
              </w:rPr>
              <w:t>, regular</w:t>
            </w:r>
            <w:r w:rsidR="00F440FE" w:rsidRPr="0068172B">
              <w:rPr>
                <w:color w:val="auto"/>
                <w:sz w:val="22"/>
                <w:szCs w:val="22"/>
                <w:lang w:eastAsia="en-US"/>
              </w:rPr>
              <w:t xml:space="preserve"> assessment and 1:1 tuition. </w:t>
            </w:r>
            <w:r w:rsidR="0068172B" w:rsidRPr="0068172B">
              <w:rPr>
                <w:color w:val="auto"/>
                <w:sz w:val="22"/>
                <w:szCs w:val="22"/>
                <w:lang w:eastAsia="en-US"/>
              </w:rPr>
              <w:t xml:space="preserve">The group will be supported in </w:t>
            </w:r>
            <w:r w:rsidR="0068172B" w:rsidRPr="00422AA8">
              <w:rPr>
                <w:color w:val="auto"/>
                <w:sz w:val="22"/>
                <w:szCs w:val="22"/>
                <w:lang w:eastAsia="en-US"/>
              </w:rPr>
              <w:t xml:space="preserve">English sessions later in Year 2. </w:t>
            </w:r>
          </w:p>
          <w:p w14:paraId="009B1327" w14:textId="45E76460" w:rsidR="00C57D2B" w:rsidRPr="00422AA8" w:rsidRDefault="00F440FE" w:rsidP="00716D8F">
            <w:pPr>
              <w:suppressAutoHyphens w:val="0"/>
              <w:autoSpaceDN/>
              <w:spacing w:after="120"/>
              <w:jc w:val="both"/>
              <w:rPr>
                <w:color w:val="auto"/>
                <w:sz w:val="22"/>
                <w:szCs w:val="22"/>
                <w:lang w:eastAsia="en-US"/>
              </w:rPr>
            </w:pPr>
            <w:r w:rsidRPr="00422AA8">
              <w:rPr>
                <w:color w:val="auto"/>
                <w:sz w:val="22"/>
                <w:szCs w:val="22"/>
                <w:lang w:eastAsia="en-US"/>
              </w:rPr>
              <w:t xml:space="preserve">The Year 2 phonics retakes for pupil premium pupils shows that </w:t>
            </w:r>
            <w:r w:rsidR="00C57D2B" w:rsidRPr="00422AA8">
              <w:rPr>
                <w:color w:val="auto"/>
                <w:sz w:val="22"/>
                <w:szCs w:val="22"/>
                <w:lang w:eastAsia="en-US"/>
              </w:rPr>
              <w:t xml:space="preserve">50% of the pupils achieved the expected outcome. The other </w:t>
            </w:r>
            <w:r w:rsidR="00803696" w:rsidRPr="00422AA8">
              <w:rPr>
                <w:color w:val="auto"/>
                <w:sz w:val="22"/>
                <w:szCs w:val="22"/>
                <w:lang w:eastAsia="en-US"/>
              </w:rPr>
              <w:t>children</w:t>
            </w:r>
            <w:r w:rsidR="00C57D2B" w:rsidRPr="00422AA8">
              <w:rPr>
                <w:color w:val="auto"/>
                <w:sz w:val="22"/>
                <w:szCs w:val="22"/>
                <w:lang w:eastAsia="en-US"/>
              </w:rPr>
              <w:t xml:space="preserve"> are all </w:t>
            </w:r>
            <w:r w:rsidR="00803696" w:rsidRPr="00422AA8">
              <w:rPr>
                <w:color w:val="auto"/>
                <w:sz w:val="22"/>
                <w:szCs w:val="22"/>
                <w:lang w:eastAsia="en-US"/>
              </w:rPr>
              <w:t>supported through an ILP. They receive targeted and individualised suppo</w:t>
            </w:r>
            <w:r w:rsidR="006B4E07" w:rsidRPr="00422AA8">
              <w:rPr>
                <w:color w:val="auto"/>
                <w:sz w:val="22"/>
                <w:szCs w:val="22"/>
                <w:lang w:eastAsia="en-US"/>
              </w:rPr>
              <w:t>rt</w:t>
            </w:r>
            <w:r w:rsidR="00803696" w:rsidRPr="00422AA8">
              <w:rPr>
                <w:color w:val="auto"/>
                <w:sz w:val="22"/>
                <w:szCs w:val="22"/>
                <w:lang w:eastAsia="en-US"/>
              </w:rPr>
              <w:t xml:space="preserve"> with phonics</w:t>
            </w:r>
            <w:r w:rsidR="006B4E07" w:rsidRPr="00422AA8">
              <w:rPr>
                <w:color w:val="auto"/>
                <w:sz w:val="22"/>
                <w:szCs w:val="22"/>
                <w:lang w:eastAsia="en-US"/>
              </w:rPr>
              <w:t>.</w:t>
            </w:r>
            <w:r w:rsidR="00803696" w:rsidRPr="00422AA8">
              <w:rPr>
                <w:color w:val="auto"/>
                <w:sz w:val="22"/>
                <w:szCs w:val="22"/>
                <w:lang w:eastAsia="en-US"/>
              </w:rPr>
              <w:t xml:space="preserve"> </w:t>
            </w:r>
          </w:p>
          <w:p w14:paraId="612C1683" w14:textId="52F3F905" w:rsidR="00C70525" w:rsidRDefault="0001407C" w:rsidP="00716D8F">
            <w:pPr>
              <w:suppressAutoHyphens w:val="0"/>
              <w:autoSpaceDN/>
              <w:spacing w:after="120"/>
              <w:jc w:val="both"/>
              <w:rPr>
                <w:color w:val="auto"/>
                <w:sz w:val="22"/>
                <w:szCs w:val="22"/>
                <w:lang w:eastAsia="en-US"/>
              </w:rPr>
            </w:pPr>
            <w:r>
              <w:rPr>
                <w:color w:val="auto"/>
                <w:sz w:val="22"/>
                <w:szCs w:val="22"/>
                <w:lang w:eastAsia="en-US"/>
              </w:rPr>
              <w:t xml:space="preserve">The outcomes for disadvantaged pupils </w:t>
            </w:r>
            <w:r w:rsidR="006B4E07">
              <w:rPr>
                <w:color w:val="auto"/>
                <w:sz w:val="22"/>
                <w:szCs w:val="22"/>
                <w:lang w:eastAsia="en-US"/>
              </w:rPr>
              <w:t xml:space="preserve">remain lower than for all pupils at present. All necessary provision is identified in ILPs, PPG records and through the areas highlighted by the school development plan and subject leader plans. </w:t>
            </w:r>
          </w:p>
          <w:p w14:paraId="34F53646" w14:textId="36027518" w:rsidR="00626F8D" w:rsidRDefault="00626F8D" w:rsidP="00716D8F">
            <w:pPr>
              <w:suppressAutoHyphens w:val="0"/>
              <w:autoSpaceDN/>
              <w:spacing w:after="120"/>
              <w:jc w:val="both"/>
              <w:rPr>
                <w:b/>
                <w:color w:val="auto"/>
                <w:sz w:val="22"/>
                <w:szCs w:val="22"/>
                <w:lang w:eastAsia="en-US"/>
              </w:rPr>
            </w:pPr>
            <w:r w:rsidRPr="00D5693B">
              <w:rPr>
                <w:b/>
                <w:color w:val="auto"/>
                <w:sz w:val="22"/>
                <w:szCs w:val="22"/>
                <w:lang w:eastAsia="en-US"/>
              </w:rPr>
              <w:t xml:space="preserve">Challenge 4 – To ensure disadvantaged pupils develop the skills needed for writing. </w:t>
            </w:r>
          </w:p>
          <w:p w14:paraId="1752E89F" w14:textId="3E5C424D" w:rsidR="00D5693B" w:rsidRPr="00D5693B" w:rsidRDefault="00D5693B" w:rsidP="00716D8F">
            <w:pPr>
              <w:suppressAutoHyphens w:val="0"/>
              <w:autoSpaceDN/>
              <w:spacing w:after="120"/>
              <w:jc w:val="both"/>
              <w:rPr>
                <w:b/>
                <w:color w:val="auto"/>
                <w:sz w:val="22"/>
                <w:szCs w:val="22"/>
                <w:u w:val="single"/>
                <w:lang w:eastAsia="en-US"/>
              </w:rPr>
            </w:pPr>
            <w:r w:rsidRPr="00D5693B">
              <w:rPr>
                <w:b/>
                <w:color w:val="auto"/>
                <w:sz w:val="22"/>
                <w:szCs w:val="22"/>
                <w:u w:val="single"/>
                <w:lang w:eastAsia="en-US"/>
              </w:rPr>
              <w:t>Outcome</w:t>
            </w:r>
          </w:p>
          <w:tbl>
            <w:tblPr>
              <w:tblStyle w:val="TableGrid"/>
              <w:tblW w:w="0" w:type="auto"/>
              <w:tblLook w:val="04A0" w:firstRow="1" w:lastRow="0" w:firstColumn="1" w:lastColumn="0" w:noHBand="0" w:noVBand="1"/>
            </w:tblPr>
            <w:tblGrid>
              <w:gridCol w:w="3429"/>
              <w:gridCol w:w="1984"/>
              <w:gridCol w:w="1701"/>
            </w:tblGrid>
            <w:tr w:rsidR="00331A82" w:rsidRPr="00331A82" w14:paraId="35F6A218" w14:textId="77777777" w:rsidTr="0001407C">
              <w:tc>
                <w:tcPr>
                  <w:tcW w:w="3429" w:type="dxa"/>
                  <w:shd w:val="clear" w:color="auto" w:fill="BFBFBF" w:themeFill="background1" w:themeFillShade="BF"/>
                </w:tcPr>
                <w:p w14:paraId="59031F79" w14:textId="52EEC1B4"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 xml:space="preserve">Writing </w:t>
                  </w:r>
                </w:p>
              </w:tc>
              <w:tc>
                <w:tcPr>
                  <w:tcW w:w="1984" w:type="dxa"/>
                  <w:shd w:val="clear" w:color="auto" w:fill="BFBFBF" w:themeFill="background1" w:themeFillShade="BF"/>
                </w:tcPr>
                <w:p w14:paraId="67DB40D1" w14:textId="77777777"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Whole School</w:t>
                  </w:r>
                </w:p>
              </w:tc>
              <w:tc>
                <w:tcPr>
                  <w:tcW w:w="1701" w:type="dxa"/>
                  <w:shd w:val="clear" w:color="auto" w:fill="BFBFBF" w:themeFill="background1" w:themeFillShade="BF"/>
                </w:tcPr>
                <w:p w14:paraId="6152864A" w14:textId="77777777"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PPG</w:t>
                  </w:r>
                </w:p>
              </w:tc>
            </w:tr>
            <w:tr w:rsidR="00331A82" w:rsidRPr="00331A82" w14:paraId="1E6E2E57" w14:textId="77777777" w:rsidTr="00335C6B">
              <w:tc>
                <w:tcPr>
                  <w:tcW w:w="3429" w:type="dxa"/>
                </w:tcPr>
                <w:p w14:paraId="51B54B0F" w14:textId="77777777"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Attainment EXS+</w:t>
                  </w:r>
                </w:p>
              </w:tc>
              <w:tc>
                <w:tcPr>
                  <w:tcW w:w="1984" w:type="dxa"/>
                </w:tcPr>
                <w:p w14:paraId="330D5E35" w14:textId="742C491B" w:rsidR="00D572FA" w:rsidRPr="00331A82" w:rsidRDefault="008E1D46" w:rsidP="00716D8F">
                  <w:pPr>
                    <w:suppressAutoHyphens w:val="0"/>
                    <w:autoSpaceDN/>
                    <w:spacing w:after="120"/>
                    <w:jc w:val="center"/>
                    <w:rPr>
                      <w:color w:val="auto"/>
                      <w:sz w:val="22"/>
                      <w:szCs w:val="22"/>
                      <w:lang w:eastAsia="en-US"/>
                    </w:rPr>
                  </w:pPr>
                  <w:r>
                    <w:rPr>
                      <w:color w:val="auto"/>
                      <w:sz w:val="22"/>
                      <w:szCs w:val="22"/>
                      <w:lang w:eastAsia="en-US"/>
                    </w:rPr>
                    <w:t>6</w:t>
                  </w:r>
                  <w:r w:rsidR="00056ED0">
                    <w:rPr>
                      <w:color w:val="auto"/>
                      <w:sz w:val="22"/>
                      <w:szCs w:val="22"/>
                      <w:lang w:eastAsia="en-US"/>
                    </w:rPr>
                    <w:t>2</w:t>
                  </w:r>
                  <w:r w:rsidR="00331A82">
                    <w:rPr>
                      <w:color w:val="auto"/>
                      <w:sz w:val="22"/>
                      <w:szCs w:val="22"/>
                      <w:lang w:eastAsia="en-US"/>
                    </w:rPr>
                    <w:t>%</w:t>
                  </w:r>
                </w:p>
              </w:tc>
              <w:tc>
                <w:tcPr>
                  <w:tcW w:w="1701" w:type="dxa"/>
                </w:tcPr>
                <w:p w14:paraId="22E3F657" w14:textId="3A12524B" w:rsidR="00D572FA" w:rsidRPr="00331A82" w:rsidRDefault="00E626CD" w:rsidP="00716D8F">
                  <w:pPr>
                    <w:suppressAutoHyphens w:val="0"/>
                    <w:autoSpaceDN/>
                    <w:spacing w:after="120"/>
                    <w:jc w:val="center"/>
                    <w:rPr>
                      <w:color w:val="auto"/>
                      <w:sz w:val="22"/>
                      <w:szCs w:val="22"/>
                      <w:lang w:eastAsia="en-US"/>
                    </w:rPr>
                  </w:pPr>
                  <w:r>
                    <w:rPr>
                      <w:color w:val="auto"/>
                      <w:sz w:val="22"/>
                      <w:szCs w:val="22"/>
                      <w:lang w:eastAsia="en-US"/>
                    </w:rPr>
                    <w:t>50</w:t>
                  </w:r>
                  <w:r w:rsidR="00331A82">
                    <w:rPr>
                      <w:color w:val="auto"/>
                      <w:sz w:val="22"/>
                      <w:szCs w:val="22"/>
                      <w:lang w:eastAsia="en-US"/>
                    </w:rPr>
                    <w:t>%</w:t>
                  </w:r>
                </w:p>
              </w:tc>
            </w:tr>
            <w:tr w:rsidR="00D572FA" w:rsidRPr="00331A82" w14:paraId="51B613AC" w14:textId="77777777" w:rsidTr="00335C6B">
              <w:tc>
                <w:tcPr>
                  <w:tcW w:w="3429" w:type="dxa"/>
                </w:tcPr>
                <w:p w14:paraId="03F48511" w14:textId="77777777"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Attainment GDS</w:t>
                  </w:r>
                </w:p>
              </w:tc>
              <w:tc>
                <w:tcPr>
                  <w:tcW w:w="1984" w:type="dxa"/>
                </w:tcPr>
                <w:p w14:paraId="56A19F43" w14:textId="7BB40CEF" w:rsidR="00D572FA" w:rsidRPr="00331A82" w:rsidRDefault="00E626CD" w:rsidP="00716D8F">
                  <w:pPr>
                    <w:suppressAutoHyphens w:val="0"/>
                    <w:autoSpaceDN/>
                    <w:spacing w:after="120"/>
                    <w:jc w:val="center"/>
                    <w:rPr>
                      <w:color w:val="auto"/>
                      <w:sz w:val="22"/>
                      <w:szCs w:val="22"/>
                      <w:lang w:eastAsia="en-US"/>
                    </w:rPr>
                  </w:pPr>
                  <w:r>
                    <w:rPr>
                      <w:color w:val="auto"/>
                      <w:sz w:val="22"/>
                      <w:szCs w:val="22"/>
                      <w:lang w:eastAsia="en-US"/>
                    </w:rPr>
                    <w:t>4</w:t>
                  </w:r>
                  <w:r w:rsidR="00331A82">
                    <w:rPr>
                      <w:color w:val="auto"/>
                      <w:sz w:val="22"/>
                      <w:szCs w:val="22"/>
                      <w:lang w:eastAsia="en-US"/>
                    </w:rPr>
                    <w:t>%</w:t>
                  </w:r>
                </w:p>
              </w:tc>
              <w:tc>
                <w:tcPr>
                  <w:tcW w:w="1701" w:type="dxa"/>
                </w:tcPr>
                <w:p w14:paraId="1167AF20" w14:textId="3BE0F91A" w:rsidR="00D572FA" w:rsidRPr="00331A82" w:rsidRDefault="00E626CD" w:rsidP="00716D8F">
                  <w:pPr>
                    <w:suppressAutoHyphens w:val="0"/>
                    <w:autoSpaceDN/>
                    <w:spacing w:after="120"/>
                    <w:jc w:val="center"/>
                    <w:rPr>
                      <w:color w:val="auto"/>
                      <w:sz w:val="22"/>
                      <w:szCs w:val="22"/>
                      <w:lang w:eastAsia="en-US"/>
                    </w:rPr>
                  </w:pPr>
                  <w:r>
                    <w:rPr>
                      <w:color w:val="auto"/>
                      <w:sz w:val="22"/>
                      <w:szCs w:val="22"/>
                      <w:lang w:eastAsia="en-US"/>
                    </w:rPr>
                    <w:t>0</w:t>
                  </w:r>
                  <w:r w:rsidR="00331A82">
                    <w:rPr>
                      <w:color w:val="auto"/>
                      <w:sz w:val="22"/>
                      <w:szCs w:val="22"/>
                      <w:lang w:eastAsia="en-US"/>
                    </w:rPr>
                    <w:t>%</w:t>
                  </w:r>
                </w:p>
              </w:tc>
            </w:tr>
            <w:tr w:rsidR="00331A82" w:rsidRPr="00331A82" w14:paraId="62B336BF" w14:textId="77777777" w:rsidTr="00335C6B">
              <w:tc>
                <w:tcPr>
                  <w:tcW w:w="3429" w:type="dxa"/>
                </w:tcPr>
                <w:p w14:paraId="511D9E67" w14:textId="2358F20B"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Expected progress +</w:t>
                  </w:r>
                </w:p>
              </w:tc>
              <w:tc>
                <w:tcPr>
                  <w:tcW w:w="1984" w:type="dxa"/>
                </w:tcPr>
                <w:p w14:paraId="7852A4FD" w14:textId="0A875337" w:rsidR="00D572FA" w:rsidRPr="00331A82" w:rsidRDefault="00E626CD" w:rsidP="00716D8F">
                  <w:pPr>
                    <w:suppressAutoHyphens w:val="0"/>
                    <w:autoSpaceDN/>
                    <w:spacing w:after="120"/>
                    <w:jc w:val="center"/>
                    <w:rPr>
                      <w:color w:val="auto"/>
                      <w:sz w:val="22"/>
                      <w:szCs w:val="22"/>
                      <w:lang w:eastAsia="en-US"/>
                    </w:rPr>
                  </w:pPr>
                  <w:r>
                    <w:rPr>
                      <w:color w:val="auto"/>
                      <w:sz w:val="22"/>
                      <w:szCs w:val="22"/>
                      <w:lang w:eastAsia="en-US"/>
                    </w:rPr>
                    <w:t>80</w:t>
                  </w:r>
                  <w:r w:rsidR="00331A82">
                    <w:rPr>
                      <w:color w:val="auto"/>
                      <w:sz w:val="22"/>
                      <w:szCs w:val="22"/>
                      <w:lang w:eastAsia="en-US"/>
                    </w:rPr>
                    <w:t>%</w:t>
                  </w:r>
                </w:p>
              </w:tc>
              <w:tc>
                <w:tcPr>
                  <w:tcW w:w="1701" w:type="dxa"/>
                </w:tcPr>
                <w:p w14:paraId="15907A5E" w14:textId="59CED883" w:rsidR="00D572FA" w:rsidRPr="00331A82" w:rsidRDefault="00E626CD" w:rsidP="00716D8F">
                  <w:pPr>
                    <w:suppressAutoHyphens w:val="0"/>
                    <w:autoSpaceDN/>
                    <w:spacing w:after="120"/>
                    <w:jc w:val="center"/>
                    <w:rPr>
                      <w:color w:val="auto"/>
                      <w:sz w:val="22"/>
                      <w:szCs w:val="22"/>
                      <w:lang w:eastAsia="en-US"/>
                    </w:rPr>
                  </w:pPr>
                  <w:r>
                    <w:rPr>
                      <w:color w:val="auto"/>
                      <w:sz w:val="22"/>
                      <w:szCs w:val="22"/>
                      <w:lang w:eastAsia="en-US"/>
                    </w:rPr>
                    <w:t>98</w:t>
                  </w:r>
                  <w:r w:rsidR="00331A82">
                    <w:rPr>
                      <w:color w:val="auto"/>
                      <w:sz w:val="22"/>
                      <w:szCs w:val="22"/>
                      <w:lang w:eastAsia="en-US"/>
                    </w:rPr>
                    <w:t>%</w:t>
                  </w:r>
                </w:p>
              </w:tc>
            </w:tr>
            <w:tr w:rsidR="00D572FA" w:rsidRPr="00331A82" w14:paraId="681BC7E6" w14:textId="77777777" w:rsidTr="00335C6B">
              <w:tc>
                <w:tcPr>
                  <w:tcW w:w="3429" w:type="dxa"/>
                </w:tcPr>
                <w:p w14:paraId="10482BFC" w14:textId="77777777"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Accelerated progress</w:t>
                  </w:r>
                </w:p>
              </w:tc>
              <w:tc>
                <w:tcPr>
                  <w:tcW w:w="1984" w:type="dxa"/>
                </w:tcPr>
                <w:p w14:paraId="3BCC19EB" w14:textId="594D2121" w:rsidR="00D572FA" w:rsidRPr="00331A82" w:rsidRDefault="008E1D46" w:rsidP="00716D8F">
                  <w:pPr>
                    <w:suppressAutoHyphens w:val="0"/>
                    <w:autoSpaceDN/>
                    <w:spacing w:after="120"/>
                    <w:jc w:val="center"/>
                    <w:rPr>
                      <w:color w:val="auto"/>
                      <w:sz w:val="22"/>
                      <w:szCs w:val="22"/>
                      <w:lang w:eastAsia="en-US"/>
                    </w:rPr>
                  </w:pPr>
                  <w:r>
                    <w:rPr>
                      <w:color w:val="auto"/>
                      <w:sz w:val="22"/>
                      <w:szCs w:val="22"/>
                      <w:lang w:eastAsia="en-US"/>
                    </w:rPr>
                    <w:t>1</w:t>
                  </w:r>
                  <w:r w:rsidR="00E626CD">
                    <w:rPr>
                      <w:color w:val="auto"/>
                      <w:sz w:val="22"/>
                      <w:szCs w:val="22"/>
                      <w:lang w:eastAsia="en-US"/>
                    </w:rPr>
                    <w:t>1</w:t>
                  </w:r>
                  <w:r w:rsidR="00331A82">
                    <w:rPr>
                      <w:color w:val="auto"/>
                      <w:sz w:val="22"/>
                      <w:szCs w:val="22"/>
                      <w:lang w:eastAsia="en-US"/>
                    </w:rPr>
                    <w:t>%</w:t>
                  </w:r>
                </w:p>
              </w:tc>
              <w:tc>
                <w:tcPr>
                  <w:tcW w:w="1701" w:type="dxa"/>
                </w:tcPr>
                <w:p w14:paraId="200B2F21" w14:textId="2D1C25D1" w:rsidR="00D572FA" w:rsidRPr="00331A82" w:rsidRDefault="00E626CD" w:rsidP="00716D8F">
                  <w:pPr>
                    <w:suppressAutoHyphens w:val="0"/>
                    <w:autoSpaceDN/>
                    <w:spacing w:after="120"/>
                    <w:jc w:val="center"/>
                    <w:rPr>
                      <w:color w:val="auto"/>
                      <w:sz w:val="22"/>
                      <w:szCs w:val="22"/>
                      <w:lang w:eastAsia="en-US"/>
                    </w:rPr>
                  </w:pPr>
                  <w:r>
                    <w:rPr>
                      <w:color w:val="auto"/>
                      <w:sz w:val="22"/>
                      <w:szCs w:val="22"/>
                      <w:lang w:eastAsia="en-US"/>
                    </w:rPr>
                    <w:t>8</w:t>
                  </w:r>
                  <w:r w:rsidR="00331A82">
                    <w:rPr>
                      <w:color w:val="auto"/>
                      <w:sz w:val="22"/>
                      <w:szCs w:val="22"/>
                      <w:lang w:eastAsia="en-US"/>
                    </w:rPr>
                    <w:t>%</w:t>
                  </w:r>
                </w:p>
              </w:tc>
            </w:tr>
          </w:tbl>
          <w:p w14:paraId="3E96A5D1" w14:textId="77777777" w:rsidR="008E1D46" w:rsidRDefault="008E1D46" w:rsidP="00716D8F">
            <w:pPr>
              <w:suppressAutoHyphens w:val="0"/>
              <w:autoSpaceDN/>
              <w:spacing w:after="120"/>
              <w:jc w:val="both"/>
              <w:rPr>
                <w:color w:val="auto"/>
                <w:sz w:val="22"/>
                <w:szCs w:val="22"/>
                <w:lang w:eastAsia="en-US"/>
              </w:rPr>
            </w:pPr>
          </w:p>
          <w:p w14:paraId="0EEF481B" w14:textId="2BE3A0AA" w:rsidR="00804535" w:rsidRDefault="00804535" w:rsidP="00716D8F">
            <w:pPr>
              <w:suppressAutoHyphens w:val="0"/>
              <w:autoSpaceDN/>
              <w:spacing w:after="120"/>
              <w:jc w:val="both"/>
              <w:rPr>
                <w:color w:val="auto"/>
                <w:sz w:val="22"/>
                <w:szCs w:val="22"/>
                <w:lang w:eastAsia="en-US"/>
              </w:rPr>
            </w:pPr>
            <w:r>
              <w:rPr>
                <w:color w:val="auto"/>
                <w:sz w:val="22"/>
                <w:szCs w:val="22"/>
                <w:lang w:eastAsia="en-US"/>
              </w:rPr>
              <w:t>In writing</w:t>
            </w:r>
            <w:r w:rsidR="0001407C">
              <w:rPr>
                <w:color w:val="auto"/>
                <w:sz w:val="22"/>
                <w:szCs w:val="22"/>
                <w:lang w:eastAsia="en-US"/>
              </w:rPr>
              <w:t xml:space="preserve"> the pupils’ eligible for pupil premium att</w:t>
            </w:r>
            <w:r>
              <w:rPr>
                <w:color w:val="auto"/>
                <w:sz w:val="22"/>
                <w:szCs w:val="22"/>
                <w:lang w:eastAsia="en-US"/>
              </w:rPr>
              <w:t>a</w:t>
            </w:r>
            <w:r w:rsidR="0001407C">
              <w:rPr>
                <w:color w:val="auto"/>
                <w:sz w:val="22"/>
                <w:szCs w:val="22"/>
                <w:lang w:eastAsia="en-US"/>
              </w:rPr>
              <w:t>ined lower than</w:t>
            </w:r>
            <w:r w:rsidR="008E1D46">
              <w:rPr>
                <w:color w:val="auto"/>
                <w:sz w:val="22"/>
                <w:szCs w:val="22"/>
                <w:lang w:eastAsia="en-US"/>
              </w:rPr>
              <w:t xml:space="preserve"> the figure for ‘all pupils’ as is</w:t>
            </w:r>
            <w:r w:rsidR="0001407C">
              <w:rPr>
                <w:color w:val="auto"/>
                <w:sz w:val="22"/>
                <w:szCs w:val="22"/>
                <w:lang w:eastAsia="en-US"/>
              </w:rPr>
              <w:t xml:space="preserve"> expected progress.  Writing remains a whole school priority </w:t>
            </w:r>
            <w:r>
              <w:rPr>
                <w:color w:val="auto"/>
                <w:sz w:val="22"/>
                <w:szCs w:val="22"/>
                <w:lang w:eastAsia="en-US"/>
              </w:rPr>
              <w:t xml:space="preserve">on the School Development Plan and is reviewed in detail during pupil progress meetings. </w:t>
            </w:r>
          </w:p>
          <w:p w14:paraId="06D0D915" w14:textId="77777777" w:rsidR="00E626CD" w:rsidRDefault="00E626CD" w:rsidP="00716D8F">
            <w:pPr>
              <w:suppressAutoHyphens w:val="0"/>
              <w:autoSpaceDN/>
              <w:spacing w:after="120"/>
              <w:jc w:val="both"/>
              <w:rPr>
                <w:color w:val="auto"/>
                <w:sz w:val="22"/>
                <w:szCs w:val="22"/>
                <w:lang w:eastAsia="en-US"/>
              </w:rPr>
            </w:pPr>
          </w:p>
          <w:p w14:paraId="413EF585" w14:textId="7C1C048B" w:rsidR="0001407C" w:rsidRPr="0001407C" w:rsidRDefault="00AD49C4" w:rsidP="00716D8F">
            <w:pPr>
              <w:suppressAutoHyphens w:val="0"/>
              <w:autoSpaceDN/>
              <w:spacing w:after="120"/>
              <w:jc w:val="both"/>
              <w:rPr>
                <w:b/>
                <w:color w:val="auto"/>
                <w:sz w:val="22"/>
                <w:szCs w:val="22"/>
                <w:u w:val="single"/>
                <w:lang w:eastAsia="en-US"/>
              </w:rPr>
            </w:pPr>
            <w:r w:rsidRPr="00AD49C4">
              <w:rPr>
                <w:b/>
                <w:color w:val="auto"/>
                <w:sz w:val="22"/>
                <w:szCs w:val="22"/>
                <w:u w:val="single"/>
                <w:lang w:eastAsia="en-US"/>
              </w:rPr>
              <w:t>St</w:t>
            </w:r>
            <w:r w:rsidR="0001407C" w:rsidRPr="00AD49C4">
              <w:rPr>
                <w:b/>
                <w:color w:val="auto"/>
                <w:sz w:val="22"/>
                <w:szCs w:val="22"/>
                <w:u w:val="single"/>
                <w:lang w:eastAsia="en-US"/>
              </w:rPr>
              <w:t>atut</w:t>
            </w:r>
            <w:r w:rsidR="0001407C" w:rsidRPr="0001407C">
              <w:rPr>
                <w:b/>
                <w:color w:val="auto"/>
                <w:sz w:val="22"/>
                <w:szCs w:val="22"/>
                <w:u w:val="single"/>
                <w:lang w:eastAsia="en-US"/>
              </w:rPr>
              <w:t>ory Outcomes for Writing</w:t>
            </w:r>
          </w:p>
          <w:tbl>
            <w:tblPr>
              <w:tblStyle w:val="TableGrid"/>
              <w:tblW w:w="0" w:type="auto"/>
              <w:tblLook w:val="04A0" w:firstRow="1" w:lastRow="0" w:firstColumn="1" w:lastColumn="0" w:noHBand="0" w:noVBand="1"/>
            </w:tblPr>
            <w:tblGrid>
              <w:gridCol w:w="3429"/>
              <w:gridCol w:w="1984"/>
              <w:gridCol w:w="1701"/>
            </w:tblGrid>
            <w:tr w:rsidR="00331A82" w:rsidRPr="00331A82" w14:paraId="17740EA7" w14:textId="77777777" w:rsidTr="0001407C">
              <w:tc>
                <w:tcPr>
                  <w:tcW w:w="3429" w:type="dxa"/>
                  <w:shd w:val="clear" w:color="auto" w:fill="BFBFBF" w:themeFill="background1" w:themeFillShade="BF"/>
                </w:tcPr>
                <w:p w14:paraId="078BE612" w14:textId="20E3ED59"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 xml:space="preserve">Writing </w:t>
                  </w:r>
                </w:p>
              </w:tc>
              <w:tc>
                <w:tcPr>
                  <w:tcW w:w="1984" w:type="dxa"/>
                  <w:shd w:val="clear" w:color="auto" w:fill="BFBFBF" w:themeFill="background1" w:themeFillShade="BF"/>
                </w:tcPr>
                <w:p w14:paraId="1D060567" w14:textId="77777777"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All pupils</w:t>
                  </w:r>
                </w:p>
              </w:tc>
              <w:tc>
                <w:tcPr>
                  <w:tcW w:w="1701" w:type="dxa"/>
                  <w:shd w:val="clear" w:color="auto" w:fill="BFBFBF" w:themeFill="background1" w:themeFillShade="BF"/>
                </w:tcPr>
                <w:p w14:paraId="0B09F120" w14:textId="77777777"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PPG</w:t>
                  </w:r>
                </w:p>
              </w:tc>
            </w:tr>
            <w:tr w:rsidR="00331A82" w:rsidRPr="00331A82" w14:paraId="588D4078" w14:textId="77777777" w:rsidTr="00335C6B">
              <w:tc>
                <w:tcPr>
                  <w:tcW w:w="3429" w:type="dxa"/>
                </w:tcPr>
                <w:p w14:paraId="5A62CEB8" w14:textId="77777777"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 xml:space="preserve">ELG </w:t>
                  </w:r>
                </w:p>
              </w:tc>
              <w:tc>
                <w:tcPr>
                  <w:tcW w:w="1984" w:type="dxa"/>
                </w:tcPr>
                <w:p w14:paraId="1BA14F93" w14:textId="07CC88BC" w:rsidR="00D572FA" w:rsidRPr="00331A82" w:rsidRDefault="00897174" w:rsidP="00716D8F">
                  <w:pPr>
                    <w:suppressAutoHyphens w:val="0"/>
                    <w:autoSpaceDN/>
                    <w:spacing w:after="120"/>
                    <w:jc w:val="center"/>
                    <w:rPr>
                      <w:color w:val="auto"/>
                      <w:sz w:val="22"/>
                      <w:szCs w:val="22"/>
                      <w:lang w:eastAsia="en-US"/>
                    </w:rPr>
                  </w:pPr>
                  <w:r>
                    <w:rPr>
                      <w:color w:val="auto"/>
                      <w:sz w:val="22"/>
                      <w:szCs w:val="22"/>
                      <w:lang w:eastAsia="en-US"/>
                    </w:rPr>
                    <w:t>67</w:t>
                  </w:r>
                  <w:r w:rsidR="0001407C">
                    <w:rPr>
                      <w:color w:val="auto"/>
                      <w:sz w:val="22"/>
                      <w:szCs w:val="22"/>
                      <w:lang w:eastAsia="en-US"/>
                    </w:rPr>
                    <w:t>%</w:t>
                  </w:r>
                </w:p>
              </w:tc>
              <w:tc>
                <w:tcPr>
                  <w:tcW w:w="1701" w:type="dxa"/>
                </w:tcPr>
                <w:p w14:paraId="16766F01" w14:textId="62E9221E" w:rsidR="00D572FA" w:rsidRPr="00331A82" w:rsidRDefault="001F4E4E" w:rsidP="00716D8F">
                  <w:pPr>
                    <w:suppressAutoHyphens w:val="0"/>
                    <w:autoSpaceDN/>
                    <w:spacing w:after="120"/>
                    <w:jc w:val="center"/>
                    <w:rPr>
                      <w:color w:val="auto"/>
                      <w:sz w:val="22"/>
                      <w:szCs w:val="22"/>
                      <w:lang w:eastAsia="en-US"/>
                    </w:rPr>
                  </w:pPr>
                  <w:r>
                    <w:rPr>
                      <w:color w:val="auto"/>
                      <w:sz w:val="22"/>
                      <w:szCs w:val="22"/>
                      <w:lang w:eastAsia="en-US"/>
                    </w:rPr>
                    <w:t>50</w:t>
                  </w:r>
                  <w:r w:rsidR="0001407C">
                    <w:rPr>
                      <w:color w:val="auto"/>
                      <w:sz w:val="22"/>
                      <w:szCs w:val="22"/>
                      <w:lang w:eastAsia="en-US"/>
                    </w:rPr>
                    <w:t>%</w:t>
                  </w:r>
                </w:p>
              </w:tc>
            </w:tr>
            <w:tr w:rsidR="00331A82" w:rsidRPr="00331A82" w14:paraId="2F9CD5E7" w14:textId="77777777" w:rsidTr="00335C6B">
              <w:tc>
                <w:tcPr>
                  <w:tcW w:w="3429" w:type="dxa"/>
                </w:tcPr>
                <w:p w14:paraId="3DEF23E5" w14:textId="529B54A0" w:rsidR="00D572FA" w:rsidRPr="00331A82" w:rsidRDefault="00D572FA" w:rsidP="00716D8F">
                  <w:pPr>
                    <w:suppressAutoHyphens w:val="0"/>
                    <w:autoSpaceDN/>
                    <w:spacing w:after="120"/>
                    <w:jc w:val="both"/>
                    <w:rPr>
                      <w:color w:val="auto"/>
                      <w:sz w:val="22"/>
                      <w:szCs w:val="22"/>
                      <w:lang w:eastAsia="en-US"/>
                    </w:rPr>
                  </w:pPr>
                  <w:r w:rsidRPr="00331A82">
                    <w:rPr>
                      <w:color w:val="auto"/>
                      <w:sz w:val="22"/>
                      <w:szCs w:val="22"/>
                      <w:lang w:eastAsia="en-US"/>
                    </w:rPr>
                    <w:t>Attainment at Y2</w:t>
                  </w:r>
                  <w:r w:rsidR="00E626CD">
                    <w:rPr>
                      <w:color w:val="auto"/>
                      <w:sz w:val="22"/>
                      <w:szCs w:val="22"/>
                      <w:lang w:eastAsia="en-US"/>
                    </w:rPr>
                    <w:t xml:space="preserve"> (not statutory)</w:t>
                  </w:r>
                </w:p>
              </w:tc>
              <w:tc>
                <w:tcPr>
                  <w:tcW w:w="1984" w:type="dxa"/>
                </w:tcPr>
                <w:p w14:paraId="1A40DC0A" w14:textId="524DA97F" w:rsidR="00D572FA" w:rsidRPr="00331A82" w:rsidRDefault="001F4E4E" w:rsidP="00716D8F">
                  <w:pPr>
                    <w:suppressAutoHyphens w:val="0"/>
                    <w:autoSpaceDN/>
                    <w:spacing w:after="120"/>
                    <w:jc w:val="center"/>
                    <w:rPr>
                      <w:color w:val="auto"/>
                      <w:sz w:val="22"/>
                      <w:szCs w:val="22"/>
                      <w:lang w:eastAsia="en-US"/>
                    </w:rPr>
                  </w:pPr>
                  <w:r>
                    <w:rPr>
                      <w:color w:val="auto"/>
                      <w:sz w:val="22"/>
                      <w:szCs w:val="22"/>
                      <w:lang w:eastAsia="en-US"/>
                    </w:rPr>
                    <w:t>62</w:t>
                  </w:r>
                  <w:r w:rsidR="0001407C">
                    <w:rPr>
                      <w:color w:val="auto"/>
                      <w:sz w:val="22"/>
                      <w:szCs w:val="22"/>
                      <w:lang w:eastAsia="en-US"/>
                    </w:rPr>
                    <w:t>%</w:t>
                  </w:r>
                </w:p>
              </w:tc>
              <w:tc>
                <w:tcPr>
                  <w:tcW w:w="1701" w:type="dxa"/>
                </w:tcPr>
                <w:p w14:paraId="454628ED" w14:textId="572FFF75" w:rsidR="00D572FA" w:rsidRPr="00331A82" w:rsidRDefault="001F4E4E" w:rsidP="00716D8F">
                  <w:pPr>
                    <w:suppressAutoHyphens w:val="0"/>
                    <w:autoSpaceDN/>
                    <w:spacing w:after="120"/>
                    <w:jc w:val="center"/>
                    <w:rPr>
                      <w:color w:val="auto"/>
                      <w:sz w:val="22"/>
                      <w:szCs w:val="22"/>
                      <w:lang w:eastAsia="en-US"/>
                    </w:rPr>
                  </w:pPr>
                  <w:r>
                    <w:rPr>
                      <w:color w:val="auto"/>
                      <w:sz w:val="22"/>
                      <w:szCs w:val="22"/>
                      <w:lang w:eastAsia="en-US"/>
                    </w:rPr>
                    <w:t>43</w:t>
                  </w:r>
                  <w:r w:rsidR="0001407C">
                    <w:rPr>
                      <w:color w:val="auto"/>
                      <w:sz w:val="22"/>
                      <w:szCs w:val="22"/>
                      <w:lang w:eastAsia="en-US"/>
                    </w:rPr>
                    <w:t>%</w:t>
                  </w:r>
                </w:p>
              </w:tc>
            </w:tr>
            <w:tr w:rsidR="00AD49C4" w:rsidRPr="00331A82" w14:paraId="677F8258" w14:textId="77777777" w:rsidTr="00335C6B">
              <w:tc>
                <w:tcPr>
                  <w:tcW w:w="3429" w:type="dxa"/>
                </w:tcPr>
                <w:p w14:paraId="28230A1E" w14:textId="7216479A" w:rsidR="00AD49C4" w:rsidRPr="00331A82" w:rsidRDefault="00AD49C4" w:rsidP="00716D8F">
                  <w:pPr>
                    <w:suppressAutoHyphens w:val="0"/>
                    <w:autoSpaceDN/>
                    <w:spacing w:after="120"/>
                    <w:jc w:val="both"/>
                    <w:rPr>
                      <w:color w:val="auto"/>
                      <w:sz w:val="22"/>
                      <w:szCs w:val="22"/>
                      <w:lang w:eastAsia="en-US"/>
                    </w:rPr>
                  </w:pPr>
                  <w:r>
                    <w:rPr>
                      <w:color w:val="auto"/>
                      <w:sz w:val="22"/>
                      <w:szCs w:val="22"/>
                      <w:lang w:eastAsia="en-US"/>
                    </w:rPr>
                    <w:t>Attainment at Y6</w:t>
                  </w:r>
                </w:p>
              </w:tc>
              <w:tc>
                <w:tcPr>
                  <w:tcW w:w="1984" w:type="dxa"/>
                </w:tcPr>
                <w:p w14:paraId="6347D86B" w14:textId="10405A39" w:rsidR="00AD49C4" w:rsidRDefault="00AB3693" w:rsidP="00716D8F">
                  <w:pPr>
                    <w:suppressAutoHyphens w:val="0"/>
                    <w:autoSpaceDN/>
                    <w:spacing w:after="120"/>
                    <w:jc w:val="center"/>
                    <w:rPr>
                      <w:color w:val="auto"/>
                      <w:sz w:val="22"/>
                      <w:szCs w:val="22"/>
                      <w:lang w:eastAsia="en-US"/>
                    </w:rPr>
                  </w:pPr>
                  <w:r>
                    <w:rPr>
                      <w:color w:val="auto"/>
                      <w:sz w:val="22"/>
                      <w:szCs w:val="22"/>
                      <w:lang w:eastAsia="en-US"/>
                    </w:rPr>
                    <w:t>70</w:t>
                  </w:r>
                  <w:r w:rsidR="00AD49C4">
                    <w:rPr>
                      <w:color w:val="auto"/>
                      <w:sz w:val="22"/>
                      <w:szCs w:val="22"/>
                      <w:lang w:eastAsia="en-US"/>
                    </w:rPr>
                    <w:t>%</w:t>
                  </w:r>
                </w:p>
              </w:tc>
              <w:tc>
                <w:tcPr>
                  <w:tcW w:w="1701" w:type="dxa"/>
                </w:tcPr>
                <w:p w14:paraId="56467190" w14:textId="64C66D70" w:rsidR="00AD49C4" w:rsidRDefault="00AB3693" w:rsidP="00716D8F">
                  <w:pPr>
                    <w:suppressAutoHyphens w:val="0"/>
                    <w:autoSpaceDN/>
                    <w:spacing w:after="120"/>
                    <w:jc w:val="center"/>
                    <w:rPr>
                      <w:color w:val="auto"/>
                      <w:sz w:val="22"/>
                      <w:szCs w:val="22"/>
                      <w:lang w:eastAsia="en-US"/>
                    </w:rPr>
                  </w:pPr>
                  <w:r>
                    <w:rPr>
                      <w:color w:val="auto"/>
                      <w:sz w:val="22"/>
                      <w:szCs w:val="22"/>
                      <w:lang w:eastAsia="en-US"/>
                    </w:rPr>
                    <w:t>71</w:t>
                  </w:r>
                  <w:r w:rsidR="00AD49C4">
                    <w:rPr>
                      <w:color w:val="auto"/>
                      <w:sz w:val="22"/>
                      <w:szCs w:val="22"/>
                      <w:lang w:eastAsia="en-US"/>
                    </w:rPr>
                    <w:t>%</w:t>
                  </w:r>
                </w:p>
              </w:tc>
            </w:tr>
          </w:tbl>
          <w:p w14:paraId="2F3D3EC5" w14:textId="006CC38D" w:rsidR="008E1D46" w:rsidRDefault="008E1D46" w:rsidP="008E1D46">
            <w:pPr>
              <w:suppressAutoHyphens w:val="0"/>
              <w:autoSpaceDN/>
              <w:spacing w:after="120"/>
              <w:jc w:val="both"/>
              <w:rPr>
                <w:color w:val="auto"/>
                <w:sz w:val="22"/>
                <w:szCs w:val="22"/>
                <w:lang w:eastAsia="en-US"/>
              </w:rPr>
            </w:pPr>
            <w:r>
              <w:rPr>
                <w:color w:val="auto"/>
                <w:sz w:val="22"/>
                <w:szCs w:val="22"/>
                <w:lang w:eastAsia="en-US"/>
              </w:rPr>
              <w:lastRenderedPageBreak/>
              <w:t>Of the disadvantaged pupils in Early Years (</w:t>
            </w:r>
            <w:r w:rsidR="00BC3C85">
              <w:rPr>
                <w:color w:val="auto"/>
                <w:sz w:val="22"/>
                <w:szCs w:val="22"/>
                <w:lang w:eastAsia="en-US"/>
              </w:rPr>
              <w:t>4</w:t>
            </w:r>
            <w:r>
              <w:rPr>
                <w:color w:val="auto"/>
                <w:sz w:val="22"/>
                <w:szCs w:val="22"/>
                <w:lang w:eastAsia="en-US"/>
              </w:rPr>
              <w:t xml:space="preserve"> pupils) </w:t>
            </w:r>
            <w:r w:rsidR="00BC3C85">
              <w:rPr>
                <w:color w:val="auto"/>
                <w:sz w:val="22"/>
                <w:szCs w:val="22"/>
                <w:lang w:eastAsia="en-US"/>
              </w:rPr>
              <w:t xml:space="preserve">two </w:t>
            </w:r>
            <w:r>
              <w:rPr>
                <w:color w:val="auto"/>
                <w:sz w:val="22"/>
                <w:szCs w:val="22"/>
                <w:lang w:eastAsia="en-US"/>
              </w:rPr>
              <w:t xml:space="preserve">achieved ELG in writing. Early writing, along with communication and language, are always prioritised in the EY curriculum and the overall percentage of 67% represents very good progress from the very low baseline.  </w:t>
            </w:r>
          </w:p>
          <w:p w14:paraId="029524E8" w14:textId="4B38845E" w:rsidR="00D572FA" w:rsidRPr="00331A82" w:rsidRDefault="0001407C" w:rsidP="00716D8F">
            <w:pPr>
              <w:suppressAutoHyphens w:val="0"/>
              <w:autoSpaceDN/>
              <w:spacing w:after="120"/>
              <w:jc w:val="both"/>
              <w:rPr>
                <w:color w:val="auto"/>
                <w:sz w:val="22"/>
                <w:szCs w:val="22"/>
                <w:lang w:eastAsia="en-US"/>
              </w:rPr>
            </w:pPr>
            <w:r>
              <w:rPr>
                <w:color w:val="auto"/>
                <w:sz w:val="22"/>
                <w:szCs w:val="22"/>
                <w:lang w:eastAsia="en-US"/>
              </w:rPr>
              <w:t>The outcomes for disadvantage</w:t>
            </w:r>
            <w:r w:rsidR="008E1D46">
              <w:rPr>
                <w:color w:val="auto"/>
                <w:sz w:val="22"/>
                <w:szCs w:val="22"/>
                <w:lang w:eastAsia="en-US"/>
              </w:rPr>
              <w:t>d pupils compare well</w:t>
            </w:r>
            <w:r>
              <w:rPr>
                <w:color w:val="auto"/>
                <w:sz w:val="22"/>
                <w:szCs w:val="22"/>
                <w:lang w:eastAsia="en-US"/>
              </w:rPr>
              <w:t xml:space="preserve"> in Year 6 to the ‘all’ </w:t>
            </w:r>
            <w:r w:rsidR="00804535">
              <w:rPr>
                <w:color w:val="auto"/>
                <w:sz w:val="22"/>
                <w:szCs w:val="22"/>
                <w:lang w:eastAsia="en-US"/>
              </w:rPr>
              <w:t>pupils</w:t>
            </w:r>
            <w:r>
              <w:rPr>
                <w:color w:val="auto"/>
                <w:sz w:val="22"/>
                <w:szCs w:val="22"/>
                <w:lang w:eastAsia="en-US"/>
              </w:rPr>
              <w:t xml:space="preserve"> outcome due to the increased focus on writing stamina, </w:t>
            </w:r>
            <w:r w:rsidR="00804535">
              <w:rPr>
                <w:color w:val="auto"/>
                <w:sz w:val="22"/>
                <w:szCs w:val="22"/>
                <w:lang w:eastAsia="en-US"/>
              </w:rPr>
              <w:t>vocabulary</w:t>
            </w:r>
            <w:r w:rsidR="008E1D46">
              <w:rPr>
                <w:color w:val="auto"/>
                <w:sz w:val="22"/>
                <w:szCs w:val="22"/>
                <w:lang w:eastAsia="en-US"/>
              </w:rPr>
              <w:t xml:space="preserve"> </w:t>
            </w:r>
            <w:r>
              <w:rPr>
                <w:color w:val="auto"/>
                <w:sz w:val="22"/>
                <w:szCs w:val="22"/>
                <w:lang w:eastAsia="en-US"/>
              </w:rPr>
              <w:t>and sentence structure</w:t>
            </w:r>
            <w:r w:rsidR="00BC3C85">
              <w:rPr>
                <w:color w:val="auto"/>
                <w:sz w:val="22"/>
                <w:szCs w:val="22"/>
                <w:lang w:eastAsia="en-US"/>
              </w:rPr>
              <w:t xml:space="preserve">.  </w:t>
            </w:r>
            <w:r w:rsidR="00716D8F">
              <w:rPr>
                <w:color w:val="auto"/>
                <w:sz w:val="22"/>
                <w:szCs w:val="22"/>
                <w:lang w:eastAsia="en-US"/>
              </w:rPr>
              <w:t>These areas</w:t>
            </w:r>
            <w:r w:rsidR="008E1D46">
              <w:rPr>
                <w:color w:val="auto"/>
                <w:sz w:val="22"/>
                <w:szCs w:val="22"/>
                <w:lang w:eastAsia="en-US"/>
              </w:rPr>
              <w:t xml:space="preserve"> remain a focus on the English L</w:t>
            </w:r>
            <w:r w:rsidR="00716D8F">
              <w:rPr>
                <w:color w:val="auto"/>
                <w:sz w:val="22"/>
                <w:szCs w:val="22"/>
                <w:lang w:eastAsia="en-US"/>
              </w:rPr>
              <w:t>eader</w:t>
            </w:r>
            <w:r w:rsidR="008E1D46">
              <w:rPr>
                <w:color w:val="auto"/>
                <w:sz w:val="22"/>
                <w:szCs w:val="22"/>
                <w:lang w:eastAsia="en-US"/>
              </w:rPr>
              <w:t>’</w:t>
            </w:r>
            <w:r w:rsidR="00716D8F">
              <w:rPr>
                <w:color w:val="auto"/>
                <w:sz w:val="22"/>
                <w:szCs w:val="22"/>
                <w:lang w:eastAsia="en-US"/>
              </w:rPr>
              <w:t xml:space="preserve">s strategy plan. </w:t>
            </w:r>
          </w:p>
          <w:p w14:paraId="7ACE346A" w14:textId="52E3C055" w:rsidR="00D572FA" w:rsidRDefault="00626F8D" w:rsidP="00D572FA">
            <w:pPr>
              <w:suppressAutoHyphens w:val="0"/>
              <w:autoSpaceDN/>
              <w:spacing w:after="120"/>
              <w:rPr>
                <w:b/>
                <w:color w:val="auto"/>
                <w:sz w:val="22"/>
                <w:szCs w:val="22"/>
                <w:lang w:eastAsia="en-US"/>
              </w:rPr>
            </w:pPr>
            <w:r w:rsidRPr="0001407C">
              <w:rPr>
                <w:b/>
                <w:color w:val="auto"/>
                <w:sz w:val="22"/>
                <w:szCs w:val="22"/>
                <w:lang w:eastAsia="en-US"/>
              </w:rPr>
              <w:t xml:space="preserve">Challenge 5 – To ensure disadvantaged pupils develop the skills needed for maths </w:t>
            </w:r>
          </w:p>
          <w:p w14:paraId="06565586" w14:textId="07FDBA1F" w:rsidR="0001407C" w:rsidRPr="0001407C" w:rsidRDefault="0001407C" w:rsidP="00D572FA">
            <w:pPr>
              <w:suppressAutoHyphens w:val="0"/>
              <w:autoSpaceDN/>
              <w:spacing w:after="120"/>
              <w:rPr>
                <w:b/>
                <w:color w:val="auto"/>
                <w:sz w:val="22"/>
                <w:szCs w:val="22"/>
                <w:u w:val="single"/>
                <w:lang w:eastAsia="en-US"/>
              </w:rPr>
            </w:pPr>
            <w:r w:rsidRPr="0001407C">
              <w:rPr>
                <w:b/>
                <w:color w:val="auto"/>
                <w:sz w:val="22"/>
                <w:szCs w:val="22"/>
                <w:u w:val="single"/>
                <w:lang w:eastAsia="en-US"/>
              </w:rPr>
              <w:t>Outcomes</w:t>
            </w:r>
          </w:p>
          <w:tbl>
            <w:tblPr>
              <w:tblStyle w:val="TableGrid"/>
              <w:tblW w:w="0" w:type="auto"/>
              <w:tblLook w:val="04A0" w:firstRow="1" w:lastRow="0" w:firstColumn="1" w:lastColumn="0" w:noHBand="0" w:noVBand="1"/>
            </w:tblPr>
            <w:tblGrid>
              <w:gridCol w:w="3429"/>
              <w:gridCol w:w="1984"/>
              <w:gridCol w:w="1701"/>
            </w:tblGrid>
            <w:tr w:rsidR="00331A82" w:rsidRPr="00331A82" w14:paraId="109D4CAD" w14:textId="77777777" w:rsidTr="0001407C">
              <w:tc>
                <w:tcPr>
                  <w:tcW w:w="3429" w:type="dxa"/>
                  <w:shd w:val="clear" w:color="auto" w:fill="BFBFBF" w:themeFill="background1" w:themeFillShade="BF"/>
                </w:tcPr>
                <w:p w14:paraId="21BFA76E" w14:textId="5C76B9A3" w:rsidR="00D572FA" w:rsidRPr="00331A82" w:rsidRDefault="00D572FA" w:rsidP="00676605">
                  <w:pPr>
                    <w:suppressAutoHyphens w:val="0"/>
                    <w:autoSpaceDN/>
                    <w:spacing w:after="120"/>
                    <w:rPr>
                      <w:color w:val="auto"/>
                      <w:sz w:val="22"/>
                      <w:szCs w:val="22"/>
                      <w:lang w:eastAsia="en-US"/>
                    </w:rPr>
                  </w:pPr>
                  <w:r w:rsidRPr="00331A82">
                    <w:rPr>
                      <w:color w:val="auto"/>
                      <w:sz w:val="22"/>
                      <w:szCs w:val="22"/>
                      <w:lang w:eastAsia="en-US"/>
                    </w:rPr>
                    <w:t>Maths</w:t>
                  </w:r>
                </w:p>
              </w:tc>
              <w:tc>
                <w:tcPr>
                  <w:tcW w:w="1984" w:type="dxa"/>
                  <w:shd w:val="clear" w:color="auto" w:fill="BFBFBF" w:themeFill="background1" w:themeFillShade="BF"/>
                </w:tcPr>
                <w:p w14:paraId="5086FA0E" w14:textId="771CB038"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Whole School</w:t>
                  </w:r>
                </w:p>
              </w:tc>
              <w:tc>
                <w:tcPr>
                  <w:tcW w:w="1701" w:type="dxa"/>
                  <w:shd w:val="clear" w:color="auto" w:fill="BFBFBF" w:themeFill="background1" w:themeFillShade="BF"/>
                </w:tcPr>
                <w:p w14:paraId="6533D5C8" w14:textId="60FDCB5D" w:rsidR="00D572FA" w:rsidRPr="00331A82" w:rsidRDefault="00D572FA" w:rsidP="00716D8F">
                  <w:pPr>
                    <w:suppressAutoHyphens w:val="0"/>
                    <w:autoSpaceDN/>
                    <w:spacing w:after="120"/>
                    <w:jc w:val="center"/>
                    <w:rPr>
                      <w:color w:val="auto"/>
                      <w:sz w:val="22"/>
                      <w:szCs w:val="22"/>
                      <w:lang w:eastAsia="en-US"/>
                    </w:rPr>
                  </w:pPr>
                  <w:r w:rsidRPr="00331A82">
                    <w:rPr>
                      <w:color w:val="auto"/>
                      <w:sz w:val="22"/>
                      <w:szCs w:val="22"/>
                      <w:lang w:eastAsia="en-US"/>
                    </w:rPr>
                    <w:t>PPG</w:t>
                  </w:r>
                </w:p>
              </w:tc>
            </w:tr>
            <w:tr w:rsidR="00331A82" w:rsidRPr="00331A82" w14:paraId="3AE0FE3C" w14:textId="77777777" w:rsidTr="00D572FA">
              <w:tc>
                <w:tcPr>
                  <w:tcW w:w="3429" w:type="dxa"/>
                </w:tcPr>
                <w:p w14:paraId="7D93355A" w14:textId="46C093AA"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Attainment EXS+</w:t>
                  </w:r>
                </w:p>
              </w:tc>
              <w:tc>
                <w:tcPr>
                  <w:tcW w:w="1984" w:type="dxa"/>
                </w:tcPr>
                <w:p w14:paraId="1372B9DB" w14:textId="4E15FFA1" w:rsidR="00D572FA" w:rsidRPr="00331A82" w:rsidRDefault="00230960" w:rsidP="00716D8F">
                  <w:pPr>
                    <w:suppressAutoHyphens w:val="0"/>
                    <w:autoSpaceDN/>
                    <w:spacing w:after="120"/>
                    <w:jc w:val="center"/>
                    <w:rPr>
                      <w:color w:val="auto"/>
                      <w:sz w:val="22"/>
                      <w:szCs w:val="22"/>
                      <w:lang w:eastAsia="en-US"/>
                    </w:rPr>
                  </w:pPr>
                  <w:r>
                    <w:rPr>
                      <w:color w:val="auto"/>
                      <w:sz w:val="22"/>
                      <w:szCs w:val="22"/>
                      <w:lang w:eastAsia="en-US"/>
                    </w:rPr>
                    <w:t>80</w:t>
                  </w:r>
                  <w:r w:rsidR="00D572FA" w:rsidRPr="00331A82">
                    <w:rPr>
                      <w:color w:val="auto"/>
                      <w:sz w:val="22"/>
                      <w:szCs w:val="22"/>
                      <w:lang w:eastAsia="en-US"/>
                    </w:rPr>
                    <w:t>%</w:t>
                  </w:r>
                </w:p>
              </w:tc>
              <w:tc>
                <w:tcPr>
                  <w:tcW w:w="1701" w:type="dxa"/>
                </w:tcPr>
                <w:p w14:paraId="3350B949" w14:textId="7F572564" w:rsidR="00D572FA" w:rsidRPr="00331A82" w:rsidRDefault="00230960" w:rsidP="00716D8F">
                  <w:pPr>
                    <w:suppressAutoHyphens w:val="0"/>
                    <w:autoSpaceDN/>
                    <w:spacing w:after="120"/>
                    <w:jc w:val="center"/>
                    <w:rPr>
                      <w:color w:val="auto"/>
                      <w:sz w:val="22"/>
                      <w:szCs w:val="22"/>
                      <w:lang w:eastAsia="en-US"/>
                    </w:rPr>
                  </w:pPr>
                  <w:r>
                    <w:rPr>
                      <w:color w:val="auto"/>
                      <w:sz w:val="22"/>
                      <w:szCs w:val="22"/>
                      <w:lang w:eastAsia="en-US"/>
                    </w:rPr>
                    <w:t>50</w:t>
                  </w:r>
                  <w:r w:rsidR="00D572FA" w:rsidRPr="00331A82">
                    <w:rPr>
                      <w:color w:val="auto"/>
                      <w:sz w:val="22"/>
                      <w:szCs w:val="22"/>
                      <w:lang w:eastAsia="en-US"/>
                    </w:rPr>
                    <w:t>%</w:t>
                  </w:r>
                </w:p>
              </w:tc>
            </w:tr>
            <w:tr w:rsidR="00D572FA" w:rsidRPr="00331A82" w14:paraId="6A0AD0C4" w14:textId="77777777" w:rsidTr="00D572FA">
              <w:tc>
                <w:tcPr>
                  <w:tcW w:w="3429" w:type="dxa"/>
                </w:tcPr>
                <w:p w14:paraId="077E0659" w14:textId="217CF2B9"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Attainment GDS</w:t>
                  </w:r>
                </w:p>
              </w:tc>
              <w:tc>
                <w:tcPr>
                  <w:tcW w:w="1984" w:type="dxa"/>
                </w:tcPr>
                <w:p w14:paraId="08C64752" w14:textId="48BCB2F1" w:rsidR="00D572FA" w:rsidRPr="00331A82" w:rsidRDefault="00230960" w:rsidP="00716D8F">
                  <w:pPr>
                    <w:suppressAutoHyphens w:val="0"/>
                    <w:autoSpaceDN/>
                    <w:spacing w:after="120"/>
                    <w:jc w:val="center"/>
                    <w:rPr>
                      <w:color w:val="auto"/>
                      <w:sz w:val="22"/>
                      <w:szCs w:val="22"/>
                      <w:lang w:eastAsia="en-US"/>
                    </w:rPr>
                  </w:pPr>
                  <w:r>
                    <w:rPr>
                      <w:color w:val="auto"/>
                      <w:sz w:val="22"/>
                      <w:szCs w:val="22"/>
                      <w:lang w:eastAsia="en-US"/>
                    </w:rPr>
                    <w:t>13</w:t>
                  </w:r>
                  <w:r w:rsidR="00D572FA" w:rsidRPr="00331A82">
                    <w:rPr>
                      <w:color w:val="auto"/>
                      <w:sz w:val="22"/>
                      <w:szCs w:val="22"/>
                      <w:lang w:eastAsia="en-US"/>
                    </w:rPr>
                    <w:t>%</w:t>
                  </w:r>
                </w:p>
              </w:tc>
              <w:tc>
                <w:tcPr>
                  <w:tcW w:w="1701" w:type="dxa"/>
                </w:tcPr>
                <w:p w14:paraId="39AAD71A" w14:textId="28F64F0A" w:rsidR="00D572FA" w:rsidRPr="00331A82" w:rsidRDefault="00230960" w:rsidP="00716D8F">
                  <w:pPr>
                    <w:suppressAutoHyphens w:val="0"/>
                    <w:autoSpaceDN/>
                    <w:spacing w:after="120"/>
                    <w:jc w:val="center"/>
                    <w:rPr>
                      <w:color w:val="auto"/>
                      <w:sz w:val="22"/>
                      <w:szCs w:val="22"/>
                      <w:lang w:eastAsia="en-US"/>
                    </w:rPr>
                  </w:pPr>
                  <w:r>
                    <w:rPr>
                      <w:color w:val="auto"/>
                      <w:sz w:val="22"/>
                      <w:szCs w:val="22"/>
                      <w:lang w:eastAsia="en-US"/>
                    </w:rPr>
                    <w:t>18</w:t>
                  </w:r>
                  <w:r w:rsidR="00D572FA" w:rsidRPr="00331A82">
                    <w:rPr>
                      <w:color w:val="auto"/>
                      <w:sz w:val="22"/>
                      <w:szCs w:val="22"/>
                      <w:lang w:eastAsia="en-US"/>
                    </w:rPr>
                    <w:t>%</w:t>
                  </w:r>
                </w:p>
              </w:tc>
            </w:tr>
            <w:tr w:rsidR="00331A82" w:rsidRPr="00331A82" w14:paraId="0ED62E47" w14:textId="77777777" w:rsidTr="00D572FA">
              <w:tc>
                <w:tcPr>
                  <w:tcW w:w="3429" w:type="dxa"/>
                </w:tcPr>
                <w:p w14:paraId="64862008" w14:textId="7FFAF563" w:rsidR="00D572FA" w:rsidRPr="00331A82" w:rsidRDefault="00230960" w:rsidP="00676605">
                  <w:pPr>
                    <w:suppressAutoHyphens w:val="0"/>
                    <w:autoSpaceDN/>
                    <w:spacing w:after="120"/>
                    <w:rPr>
                      <w:color w:val="auto"/>
                      <w:sz w:val="22"/>
                      <w:szCs w:val="22"/>
                      <w:lang w:eastAsia="en-US"/>
                    </w:rPr>
                  </w:pPr>
                  <w:r>
                    <w:rPr>
                      <w:color w:val="auto"/>
                      <w:sz w:val="22"/>
                      <w:szCs w:val="22"/>
                      <w:lang w:eastAsia="en-US"/>
                    </w:rPr>
                    <w:t>E</w:t>
                  </w:r>
                  <w:r w:rsidR="00D572FA" w:rsidRPr="00331A82">
                    <w:rPr>
                      <w:color w:val="auto"/>
                      <w:sz w:val="22"/>
                      <w:szCs w:val="22"/>
                      <w:lang w:eastAsia="en-US"/>
                    </w:rPr>
                    <w:t>xpected progress +</w:t>
                  </w:r>
                </w:p>
              </w:tc>
              <w:tc>
                <w:tcPr>
                  <w:tcW w:w="1984" w:type="dxa"/>
                </w:tcPr>
                <w:p w14:paraId="0887C3C1" w14:textId="589F446B" w:rsidR="00D572FA" w:rsidRPr="00331A82" w:rsidRDefault="00953F75" w:rsidP="00716D8F">
                  <w:pPr>
                    <w:suppressAutoHyphens w:val="0"/>
                    <w:autoSpaceDN/>
                    <w:spacing w:after="120"/>
                    <w:jc w:val="center"/>
                    <w:rPr>
                      <w:color w:val="auto"/>
                      <w:sz w:val="22"/>
                      <w:szCs w:val="22"/>
                      <w:lang w:eastAsia="en-US"/>
                    </w:rPr>
                  </w:pPr>
                  <w:r>
                    <w:rPr>
                      <w:color w:val="auto"/>
                      <w:sz w:val="22"/>
                      <w:szCs w:val="22"/>
                      <w:lang w:eastAsia="en-US"/>
                    </w:rPr>
                    <w:t>79</w:t>
                  </w:r>
                  <w:r w:rsidR="00D572FA" w:rsidRPr="00331A82">
                    <w:rPr>
                      <w:color w:val="auto"/>
                      <w:sz w:val="22"/>
                      <w:szCs w:val="22"/>
                      <w:lang w:eastAsia="en-US"/>
                    </w:rPr>
                    <w:t>%</w:t>
                  </w:r>
                </w:p>
              </w:tc>
              <w:tc>
                <w:tcPr>
                  <w:tcW w:w="1701" w:type="dxa"/>
                </w:tcPr>
                <w:p w14:paraId="5B6D655B" w14:textId="7F1EE06F" w:rsidR="00D572FA" w:rsidRPr="00331A82" w:rsidRDefault="00953F75" w:rsidP="00716D8F">
                  <w:pPr>
                    <w:suppressAutoHyphens w:val="0"/>
                    <w:autoSpaceDN/>
                    <w:spacing w:after="120"/>
                    <w:jc w:val="center"/>
                    <w:rPr>
                      <w:color w:val="auto"/>
                      <w:sz w:val="22"/>
                      <w:szCs w:val="22"/>
                      <w:lang w:eastAsia="en-US"/>
                    </w:rPr>
                  </w:pPr>
                  <w:r>
                    <w:rPr>
                      <w:color w:val="auto"/>
                      <w:sz w:val="22"/>
                      <w:szCs w:val="22"/>
                      <w:lang w:eastAsia="en-US"/>
                    </w:rPr>
                    <w:t>95</w:t>
                  </w:r>
                  <w:r w:rsidR="00D572FA" w:rsidRPr="00331A82">
                    <w:rPr>
                      <w:color w:val="auto"/>
                      <w:sz w:val="22"/>
                      <w:szCs w:val="22"/>
                      <w:lang w:eastAsia="en-US"/>
                    </w:rPr>
                    <w:t>%</w:t>
                  </w:r>
                </w:p>
              </w:tc>
            </w:tr>
            <w:tr w:rsidR="00D572FA" w:rsidRPr="00331A82" w14:paraId="4FDA5B06" w14:textId="77777777" w:rsidTr="00D572FA">
              <w:tc>
                <w:tcPr>
                  <w:tcW w:w="3429" w:type="dxa"/>
                </w:tcPr>
                <w:p w14:paraId="3E430E4B" w14:textId="482A3E64" w:rsidR="00D572FA" w:rsidRPr="00331A82" w:rsidRDefault="00D572FA" w:rsidP="00676605">
                  <w:pPr>
                    <w:suppressAutoHyphens w:val="0"/>
                    <w:autoSpaceDN/>
                    <w:spacing w:after="120"/>
                    <w:rPr>
                      <w:color w:val="auto"/>
                      <w:sz w:val="22"/>
                      <w:szCs w:val="22"/>
                      <w:lang w:eastAsia="en-US"/>
                    </w:rPr>
                  </w:pPr>
                  <w:r w:rsidRPr="00331A82">
                    <w:rPr>
                      <w:color w:val="auto"/>
                      <w:sz w:val="22"/>
                      <w:szCs w:val="22"/>
                      <w:lang w:eastAsia="en-US"/>
                    </w:rPr>
                    <w:t>Accelerated progress</w:t>
                  </w:r>
                </w:p>
              </w:tc>
              <w:tc>
                <w:tcPr>
                  <w:tcW w:w="1984" w:type="dxa"/>
                </w:tcPr>
                <w:p w14:paraId="2D883148" w14:textId="1EDC2A28" w:rsidR="00D572FA" w:rsidRPr="00331A82" w:rsidRDefault="00AD49C4" w:rsidP="00716D8F">
                  <w:pPr>
                    <w:suppressAutoHyphens w:val="0"/>
                    <w:autoSpaceDN/>
                    <w:spacing w:after="120"/>
                    <w:jc w:val="center"/>
                    <w:rPr>
                      <w:color w:val="auto"/>
                      <w:sz w:val="22"/>
                      <w:szCs w:val="22"/>
                      <w:lang w:eastAsia="en-US"/>
                    </w:rPr>
                  </w:pPr>
                  <w:r>
                    <w:rPr>
                      <w:color w:val="auto"/>
                      <w:sz w:val="22"/>
                      <w:szCs w:val="22"/>
                      <w:lang w:eastAsia="en-US"/>
                    </w:rPr>
                    <w:t>1</w:t>
                  </w:r>
                  <w:r w:rsidR="00FC25A0">
                    <w:rPr>
                      <w:color w:val="auto"/>
                      <w:sz w:val="22"/>
                      <w:szCs w:val="22"/>
                      <w:lang w:eastAsia="en-US"/>
                    </w:rPr>
                    <w:t>3</w:t>
                  </w:r>
                  <w:r w:rsidR="00D572FA" w:rsidRPr="00331A82">
                    <w:rPr>
                      <w:color w:val="auto"/>
                      <w:sz w:val="22"/>
                      <w:szCs w:val="22"/>
                      <w:lang w:eastAsia="en-US"/>
                    </w:rPr>
                    <w:t>%</w:t>
                  </w:r>
                </w:p>
              </w:tc>
              <w:tc>
                <w:tcPr>
                  <w:tcW w:w="1701" w:type="dxa"/>
                </w:tcPr>
                <w:p w14:paraId="5CD76F6C" w14:textId="43A72CCC" w:rsidR="00D572FA" w:rsidRPr="00331A82" w:rsidRDefault="00FC25A0" w:rsidP="00716D8F">
                  <w:pPr>
                    <w:suppressAutoHyphens w:val="0"/>
                    <w:autoSpaceDN/>
                    <w:spacing w:after="120"/>
                    <w:jc w:val="center"/>
                    <w:rPr>
                      <w:color w:val="auto"/>
                      <w:sz w:val="22"/>
                      <w:szCs w:val="22"/>
                      <w:lang w:eastAsia="en-US"/>
                    </w:rPr>
                  </w:pPr>
                  <w:r>
                    <w:rPr>
                      <w:color w:val="auto"/>
                      <w:sz w:val="22"/>
                      <w:szCs w:val="22"/>
                      <w:lang w:eastAsia="en-US"/>
                    </w:rPr>
                    <w:t>18</w:t>
                  </w:r>
                  <w:r w:rsidR="00D572FA" w:rsidRPr="00331A82">
                    <w:rPr>
                      <w:color w:val="auto"/>
                      <w:sz w:val="22"/>
                      <w:szCs w:val="22"/>
                      <w:lang w:eastAsia="en-US"/>
                    </w:rPr>
                    <w:t>%</w:t>
                  </w:r>
                </w:p>
              </w:tc>
            </w:tr>
          </w:tbl>
          <w:p w14:paraId="65B3F5D3" w14:textId="7B474EF3" w:rsidR="00D572FA" w:rsidRDefault="0001407C" w:rsidP="0001407C">
            <w:pPr>
              <w:suppressAutoHyphens w:val="0"/>
              <w:autoSpaceDN/>
              <w:spacing w:after="120"/>
              <w:rPr>
                <w:color w:val="auto"/>
                <w:sz w:val="22"/>
                <w:szCs w:val="22"/>
                <w:lang w:eastAsia="en-US"/>
              </w:rPr>
            </w:pPr>
            <w:r>
              <w:rPr>
                <w:color w:val="auto"/>
                <w:sz w:val="22"/>
                <w:szCs w:val="22"/>
                <w:lang w:eastAsia="en-US"/>
              </w:rPr>
              <w:t>In maths</w:t>
            </w:r>
            <w:r w:rsidR="00716D8F">
              <w:rPr>
                <w:color w:val="auto"/>
                <w:sz w:val="22"/>
                <w:szCs w:val="22"/>
                <w:lang w:eastAsia="en-US"/>
              </w:rPr>
              <w:t xml:space="preserve">, </w:t>
            </w:r>
            <w:r>
              <w:rPr>
                <w:color w:val="auto"/>
                <w:sz w:val="22"/>
                <w:szCs w:val="22"/>
                <w:lang w:eastAsia="en-US"/>
              </w:rPr>
              <w:t>the pupils’ eligible for pupil premium att</w:t>
            </w:r>
            <w:r w:rsidR="00716D8F">
              <w:rPr>
                <w:color w:val="auto"/>
                <w:sz w:val="22"/>
                <w:szCs w:val="22"/>
                <w:lang w:eastAsia="en-US"/>
              </w:rPr>
              <w:t>a</w:t>
            </w:r>
            <w:r>
              <w:rPr>
                <w:color w:val="auto"/>
                <w:sz w:val="22"/>
                <w:szCs w:val="22"/>
                <w:lang w:eastAsia="en-US"/>
              </w:rPr>
              <w:t>ined lower than the figure for ‘all pupils’ but expected progress</w:t>
            </w:r>
            <w:r w:rsidR="00716D8F">
              <w:rPr>
                <w:color w:val="auto"/>
                <w:sz w:val="22"/>
                <w:szCs w:val="22"/>
                <w:lang w:eastAsia="en-US"/>
              </w:rPr>
              <w:t xml:space="preserve"> </w:t>
            </w:r>
            <w:r w:rsidR="00AD49C4">
              <w:rPr>
                <w:color w:val="auto"/>
                <w:sz w:val="22"/>
                <w:szCs w:val="22"/>
                <w:lang w:eastAsia="en-US"/>
              </w:rPr>
              <w:t>is</w:t>
            </w:r>
            <w:r w:rsidR="00FC25A0">
              <w:rPr>
                <w:color w:val="auto"/>
                <w:sz w:val="22"/>
                <w:szCs w:val="22"/>
                <w:lang w:eastAsia="en-US"/>
              </w:rPr>
              <w:t xml:space="preserve"> above all pupils</w:t>
            </w:r>
            <w:r w:rsidR="00AD49C4">
              <w:rPr>
                <w:color w:val="auto"/>
                <w:sz w:val="22"/>
                <w:szCs w:val="22"/>
                <w:lang w:eastAsia="en-US"/>
              </w:rPr>
              <w:t>.  The data from July 202</w:t>
            </w:r>
            <w:r w:rsidR="00FC25A0">
              <w:rPr>
                <w:color w:val="auto"/>
                <w:sz w:val="22"/>
                <w:szCs w:val="22"/>
                <w:lang w:eastAsia="en-US"/>
              </w:rPr>
              <w:t>4</w:t>
            </w:r>
            <w:r>
              <w:rPr>
                <w:color w:val="auto"/>
                <w:sz w:val="22"/>
                <w:szCs w:val="22"/>
                <w:lang w:eastAsia="en-US"/>
              </w:rPr>
              <w:t xml:space="preserve"> reveals that girls are currently not attaining as well as previously and the maths leader strategy plan will address this. </w:t>
            </w:r>
          </w:p>
          <w:p w14:paraId="7B20AC43" w14:textId="07DE0BEB" w:rsidR="00716D8F" w:rsidRPr="00716D8F" w:rsidRDefault="00716D8F" w:rsidP="00716D8F">
            <w:pPr>
              <w:suppressAutoHyphens w:val="0"/>
              <w:autoSpaceDN/>
              <w:spacing w:after="120"/>
              <w:jc w:val="both"/>
              <w:rPr>
                <w:b/>
                <w:color w:val="auto"/>
                <w:sz w:val="22"/>
                <w:szCs w:val="22"/>
                <w:u w:val="single"/>
                <w:lang w:eastAsia="en-US"/>
              </w:rPr>
            </w:pPr>
            <w:r w:rsidRPr="0001407C">
              <w:rPr>
                <w:b/>
                <w:color w:val="auto"/>
                <w:sz w:val="22"/>
                <w:szCs w:val="22"/>
                <w:u w:val="single"/>
                <w:lang w:eastAsia="en-US"/>
              </w:rPr>
              <w:t>Statutory O</w:t>
            </w:r>
            <w:r>
              <w:rPr>
                <w:b/>
                <w:color w:val="auto"/>
                <w:sz w:val="22"/>
                <w:szCs w:val="22"/>
                <w:u w:val="single"/>
                <w:lang w:eastAsia="en-US"/>
              </w:rPr>
              <w:t>utcomes for Maths</w:t>
            </w:r>
          </w:p>
          <w:tbl>
            <w:tblPr>
              <w:tblStyle w:val="TableGrid"/>
              <w:tblW w:w="0" w:type="auto"/>
              <w:tblLook w:val="04A0" w:firstRow="1" w:lastRow="0" w:firstColumn="1" w:lastColumn="0" w:noHBand="0" w:noVBand="1"/>
            </w:tblPr>
            <w:tblGrid>
              <w:gridCol w:w="3429"/>
              <w:gridCol w:w="1984"/>
              <w:gridCol w:w="1701"/>
            </w:tblGrid>
            <w:tr w:rsidR="00331A82" w:rsidRPr="00331A82" w14:paraId="4E03232F" w14:textId="77777777" w:rsidTr="0001407C">
              <w:tc>
                <w:tcPr>
                  <w:tcW w:w="3429" w:type="dxa"/>
                  <w:shd w:val="clear" w:color="auto" w:fill="BFBFBF" w:themeFill="background1" w:themeFillShade="BF"/>
                </w:tcPr>
                <w:p w14:paraId="720B2FDA" w14:textId="77777777"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 xml:space="preserve">Maths </w:t>
                  </w:r>
                </w:p>
              </w:tc>
              <w:tc>
                <w:tcPr>
                  <w:tcW w:w="1984" w:type="dxa"/>
                  <w:shd w:val="clear" w:color="auto" w:fill="BFBFBF" w:themeFill="background1" w:themeFillShade="BF"/>
                </w:tcPr>
                <w:p w14:paraId="3237BB54" w14:textId="77777777"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All pupils</w:t>
                  </w:r>
                </w:p>
              </w:tc>
              <w:tc>
                <w:tcPr>
                  <w:tcW w:w="1701" w:type="dxa"/>
                  <w:shd w:val="clear" w:color="auto" w:fill="BFBFBF" w:themeFill="background1" w:themeFillShade="BF"/>
                </w:tcPr>
                <w:p w14:paraId="1F1A462E" w14:textId="77777777"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PPG</w:t>
                  </w:r>
                </w:p>
              </w:tc>
            </w:tr>
            <w:tr w:rsidR="00331A82" w:rsidRPr="00331A82" w14:paraId="6B6F3FAF" w14:textId="77777777" w:rsidTr="00335C6B">
              <w:tc>
                <w:tcPr>
                  <w:tcW w:w="3429" w:type="dxa"/>
                </w:tcPr>
                <w:p w14:paraId="69699F0F" w14:textId="77777777"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 xml:space="preserve">ELG </w:t>
                  </w:r>
                </w:p>
              </w:tc>
              <w:tc>
                <w:tcPr>
                  <w:tcW w:w="1984" w:type="dxa"/>
                </w:tcPr>
                <w:p w14:paraId="1407EC40" w14:textId="0F583927" w:rsidR="00D572FA" w:rsidRPr="00331A82" w:rsidRDefault="002B639A" w:rsidP="00D572FA">
                  <w:pPr>
                    <w:suppressAutoHyphens w:val="0"/>
                    <w:autoSpaceDN/>
                    <w:spacing w:after="120"/>
                    <w:rPr>
                      <w:color w:val="auto"/>
                      <w:sz w:val="22"/>
                      <w:szCs w:val="22"/>
                      <w:lang w:eastAsia="en-US"/>
                    </w:rPr>
                  </w:pPr>
                  <w:r>
                    <w:rPr>
                      <w:color w:val="auto"/>
                      <w:sz w:val="22"/>
                      <w:szCs w:val="22"/>
                      <w:lang w:eastAsia="en-US"/>
                    </w:rPr>
                    <w:t>80</w:t>
                  </w:r>
                  <w:r w:rsidR="00DB7ED4">
                    <w:rPr>
                      <w:color w:val="auto"/>
                      <w:sz w:val="22"/>
                      <w:szCs w:val="22"/>
                      <w:lang w:eastAsia="en-US"/>
                    </w:rPr>
                    <w:t>%</w:t>
                  </w:r>
                </w:p>
              </w:tc>
              <w:tc>
                <w:tcPr>
                  <w:tcW w:w="1701" w:type="dxa"/>
                </w:tcPr>
                <w:p w14:paraId="0EFF1903" w14:textId="5809FD99" w:rsidR="00D572FA" w:rsidRPr="00331A82" w:rsidRDefault="00122569" w:rsidP="00D572FA">
                  <w:pPr>
                    <w:suppressAutoHyphens w:val="0"/>
                    <w:autoSpaceDN/>
                    <w:spacing w:after="120"/>
                    <w:rPr>
                      <w:color w:val="auto"/>
                      <w:sz w:val="22"/>
                      <w:szCs w:val="22"/>
                      <w:lang w:eastAsia="en-US"/>
                    </w:rPr>
                  </w:pPr>
                  <w:r>
                    <w:rPr>
                      <w:color w:val="auto"/>
                      <w:sz w:val="22"/>
                      <w:szCs w:val="22"/>
                      <w:lang w:eastAsia="en-US"/>
                    </w:rPr>
                    <w:t>50</w:t>
                  </w:r>
                  <w:r w:rsidR="00DB7ED4">
                    <w:rPr>
                      <w:color w:val="auto"/>
                      <w:sz w:val="22"/>
                      <w:szCs w:val="22"/>
                      <w:lang w:eastAsia="en-US"/>
                    </w:rPr>
                    <w:t>%</w:t>
                  </w:r>
                </w:p>
              </w:tc>
            </w:tr>
            <w:tr w:rsidR="00331A82" w:rsidRPr="00331A82" w14:paraId="448FF643" w14:textId="77777777" w:rsidTr="00335C6B">
              <w:tc>
                <w:tcPr>
                  <w:tcW w:w="3429" w:type="dxa"/>
                </w:tcPr>
                <w:p w14:paraId="25EB143D" w14:textId="6D2D9139" w:rsidR="00D572FA" w:rsidRPr="00331A82" w:rsidRDefault="00D572FA" w:rsidP="00D572FA">
                  <w:pPr>
                    <w:suppressAutoHyphens w:val="0"/>
                    <w:autoSpaceDN/>
                    <w:spacing w:after="120"/>
                    <w:rPr>
                      <w:color w:val="auto"/>
                      <w:sz w:val="22"/>
                      <w:szCs w:val="22"/>
                      <w:lang w:eastAsia="en-US"/>
                    </w:rPr>
                  </w:pPr>
                  <w:r w:rsidRPr="00331A82">
                    <w:rPr>
                      <w:color w:val="auto"/>
                      <w:sz w:val="22"/>
                      <w:szCs w:val="22"/>
                      <w:lang w:eastAsia="en-US"/>
                    </w:rPr>
                    <w:t>Attainment at Y2</w:t>
                  </w:r>
                  <w:r w:rsidR="002B639A">
                    <w:rPr>
                      <w:color w:val="auto"/>
                      <w:sz w:val="22"/>
                      <w:szCs w:val="22"/>
                      <w:lang w:eastAsia="en-US"/>
                    </w:rPr>
                    <w:t xml:space="preserve"> (not statutory)</w:t>
                  </w:r>
                </w:p>
              </w:tc>
              <w:tc>
                <w:tcPr>
                  <w:tcW w:w="1984" w:type="dxa"/>
                </w:tcPr>
                <w:p w14:paraId="46741EC8" w14:textId="002047FF" w:rsidR="00D572FA" w:rsidRPr="00331A82" w:rsidRDefault="00AD49C4" w:rsidP="00D572FA">
                  <w:pPr>
                    <w:suppressAutoHyphens w:val="0"/>
                    <w:autoSpaceDN/>
                    <w:spacing w:after="120"/>
                    <w:rPr>
                      <w:color w:val="auto"/>
                      <w:sz w:val="22"/>
                      <w:szCs w:val="22"/>
                      <w:lang w:eastAsia="en-US"/>
                    </w:rPr>
                  </w:pPr>
                  <w:r>
                    <w:rPr>
                      <w:color w:val="auto"/>
                      <w:sz w:val="22"/>
                      <w:szCs w:val="22"/>
                      <w:lang w:eastAsia="en-US"/>
                    </w:rPr>
                    <w:t>7</w:t>
                  </w:r>
                  <w:r w:rsidR="00F15781">
                    <w:rPr>
                      <w:color w:val="auto"/>
                      <w:sz w:val="22"/>
                      <w:szCs w:val="22"/>
                      <w:lang w:eastAsia="en-US"/>
                    </w:rPr>
                    <w:t>2</w:t>
                  </w:r>
                  <w:r w:rsidR="00DB7ED4">
                    <w:rPr>
                      <w:color w:val="auto"/>
                      <w:sz w:val="22"/>
                      <w:szCs w:val="22"/>
                      <w:lang w:eastAsia="en-US"/>
                    </w:rPr>
                    <w:t>%</w:t>
                  </w:r>
                </w:p>
              </w:tc>
              <w:tc>
                <w:tcPr>
                  <w:tcW w:w="1701" w:type="dxa"/>
                </w:tcPr>
                <w:p w14:paraId="6FCDC874" w14:textId="2FE28342" w:rsidR="00D572FA" w:rsidRPr="00331A82" w:rsidRDefault="00122569" w:rsidP="00D572FA">
                  <w:pPr>
                    <w:suppressAutoHyphens w:val="0"/>
                    <w:autoSpaceDN/>
                    <w:spacing w:after="120"/>
                    <w:rPr>
                      <w:color w:val="auto"/>
                      <w:sz w:val="22"/>
                      <w:szCs w:val="22"/>
                      <w:lang w:eastAsia="en-US"/>
                    </w:rPr>
                  </w:pPr>
                  <w:r>
                    <w:rPr>
                      <w:color w:val="auto"/>
                      <w:sz w:val="22"/>
                      <w:szCs w:val="22"/>
                      <w:lang w:eastAsia="en-US"/>
                    </w:rPr>
                    <w:t>71</w:t>
                  </w:r>
                  <w:r w:rsidR="00DB7ED4">
                    <w:rPr>
                      <w:color w:val="auto"/>
                      <w:sz w:val="22"/>
                      <w:szCs w:val="22"/>
                      <w:lang w:eastAsia="en-US"/>
                    </w:rPr>
                    <w:t>%</w:t>
                  </w:r>
                </w:p>
              </w:tc>
            </w:tr>
            <w:tr w:rsidR="0001407C" w:rsidRPr="00331A82" w14:paraId="1D62F2A5" w14:textId="77777777" w:rsidTr="00335C6B">
              <w:tc>
                <w:tcPr>
                  <w:tcW w:w="3429" w:type="dxa"/>
                </w:tcPr>
                <w:p w14:paraId="4B2D7598" w14:textId="5117D8EE" w:rsidR="0001407C" w:rsidRPr="00331A82" w:rsidRDefault="00AD49C4" w:rsidP="00D572FA">
                  <w:pPr>
                    <w:suppressAutoHyphens w:val="0"/>
                    <w:autoSpaceDN/>
                    <w:spacing w:after="120"/>
                    <w:rPr>
                      <w:color w:val="auto"/>
                      <w:sz w:val="22"/>
                      <w:szCs w:val="22"/>
                      <w:lang w:eastAsia="en-US"/>
                    </w:rPr>
                  </w:pPr>
                  <w:r>
                    <w:rPr>
                      <w:color w:val="auto"/>
                      <w:sz w:val="22"/>
                      <w:szCs w:val="22"/>
                      <w:lang w:eastAsia="en-US"/>
                    </w:rPr>
                    <w:t xml:space="preserve">Full marks </w:t>
                  </w:r>
                  <w:r w:rsidR="0001407C">
                    <w:rPr>
                      <w:color w:val="auto"/>
                      <w:sz w:val="22"/>
                      <w:szCs w:val="22"/>
                      <w:lang w:eastAsia="en-US"/>
                    </w:rPr>
                    <w:t>in MTC</w:t>
                  </w:r>
                </w:p>
              </w:tc>
              <w:tc>
                <w:tcPr>
                  <w:tcW w:w="1984" w:type="dxa"/>
                </w:tcPr>
                <w:p w14:paraId="2A0513AC" w14:textId="51E88357" w:rsidR="0001407C" w:rsidRPr="00331A82" w:rsidRDefault="00F15781" w:rsidP="00D572FA">
                  <w:pPr>
                    <w:suppressAutoHyphens w:val="0"/>
                    <w:autoSpaceDN/>
                    <w:spacing w:after="120"/>
                    <w:rPr>
                      <w:color w:val="auto"/>
                      <w:sz w:val="22"/>
                      <w:szCs w:val="22"/>
                      <w:lang w:eastAsia="en-US"/>
                    </w:rPr>
                  </w:pPr>
                  <w:r>
                    <w:rPr>
                      <w:color w:val="auto"/>
                      <w:sz w:val="22"/>
                      <w:szCs w:val="22"/>
                      <w:lang w:eastAsia="en-US"/>
                    </w:rPr>
                    <w:t>73</w:t>
                  </w:r>
                  <w:r w:rsidR="006417B6">
                    <w:rPr>
                      <w:color w:val="auto"/>
                      <w:sz w:val="22"/>
                      <w:szCs w:val="22"/>
                      <w:lang w:eastAsia="en-US"/>
                    </w:rPr>
                    <w:t>%</w:t>
                  </w:r>
                </w:p>
              </w:tc>
              <w:tc>
                <w:tcPr>
                  <w:tcW w:w="1701" w:type="dxa"/>
                </w:tcPr>
                <w:p w14:paraId="1FD083F4" w14:textId="38C7D53B" w:rsidR="0001407C" w:rsidRPr="00331A82" w:rsidRDefault="006C6B1A" w:rsidP="00D572FA">
                  <w:pPr>
                    <w:suppressAutoHyphens w:val="0"/>
                    <w:autoSpaceDN/>
                    <w:spacing w:after="120"/>
                    <w:rPr>
                      <w:color w:val="auto"/>
                      <w:sz w:val="22"/>
                      <w:szCs w:val="22"/>
                      <w:lang w:eastAsia="en-US"/>
                    </w:rPr>
                  </w:pPr>
                  <w:r>
                    <w:rPr>
                      <w:color w:val="auto"/>
                      <w:sz w:val="22"/>
                      <w:szCs w:val="22"/>
                      <w:lang w:eastAsia="en-US"/>
                    </w:rPr>
                    <w:t>71</w:t>
                  </w:r>
                  <w:r w:rsidR="006417B6">
                    <w:rPr>
                      <w:color w:val="auto"/>
                      <w:sz w:val="22"/>
                      <w:szCs w:val="22"/>
                      <w:lang w:eastAsia="en-US"/>
                    </w:rPr>
                    <w:t>%</w:t>
                  </w:r>
                </w:p>
              </w:tc>
            </w:tr>
            <w:tr w:rsidR="00AD49C4" w:rsidRPr="00331A82" w14:paraId="5660D7F3" w14:textId="77777777" w:rsidTr="00335C6B">
              <w:tc>
                <w:tcPr>
                  <w:tcW w:w="3429" w:type="dxa"/>
                </w:tcPr>
                <w:p w14:paraId="52776767" w14:textId="587B97D3" w:rsidR="00AD49C4" w:rsidRDefault="00AD49C4" w:rsidP="00D572FA">
                  <w:pPr>
                    <w:suppressAutoHyphens w:val="0"/>
                    <w:autoSpaceDN/>
                    <w:spacing w:after="120"/>
                    <w:rPr>
                      <w:color w:val="auto"/>
                      <w:sz w:val="22"/>
                      <w:szCs w:val="22"/>
                      <w:lang w:eastAsia="en-US"/>
                    </w:rPr>
                  </w:pPr>
                  <w:r>
                    <w:rPr>
                      <w:color w:val="auto"/>
                      <w:sz w:val="22"/>
                      <w:szCs w:val="22"/>
                      <w:lang w:eastAsia="en-US"/>
                    </w:rPr>
                    <w:t>Attainment at Y6</w:t>
                  </w:r>
                </w:p>
              </w:tc>
              <w:tc>
                <w:tcPr>
                  <w:tcW w:w="1984" w:type="dxa"/>
                </w:tcPr>
                <w:p w14:paraId="49C6C3D8" w14:textId="56ED81C2" w:rsidR="00AD49C4" w:rsidRDefault="00321473" w:rsidP="00D572FA">
                  <w:pPr>
                    <w:suppressAutoHyphens w:val="0"/>
                    <w:autoSpaceDN/>
                    <w:spacing w:after="120"/>
                    <w:rPr>
                      <w:color w:val="auto"/>
                      <w:sz w:val="22"/>
                      <w:szCs w:val="22"/>
                      <w:lang w:eastAsia="en-US"/>
                    </w:rPr>
                  </w:pPr>
                  <w:r>
                    <w:rPr>
                      <w:color w:val="auto"/>
                      <w:sz w:val="22"/>
                      <w:szCs w:val="22"/>
                      <w:lang w:eastAsia="en-US"/>
                    </w:rPr>
                    <w:t>63</w:t>
                  </w:r>
                  <w:r w:rsidR="00AD49C4">
                    <w:rPr>
                      <w:color w:val="auto"/>
                      <w:sz w:val="22"/>
                      <w:szCs w:val="22"/>
                      <w:lang w:eastAsia="en-US"/>
                    </w:rPr>
                    <w:t>%</w:t>
                  </w:r>
                </w:p>
              </w:tc>
              <w:tc>
                <w:tcPr>
                  <w:tcW w:w="1701" w:type="dxa"/>
                </w:tcPr>
                <w:p w14:paraId="6953FEBF" w14:textId="053602B1" w:rsidR="00AD49C4" w:rsidRDefault="00DB63BB" w:rsidP="00D572FA">
                  <w:pPr>
                    <w:suppressAutoHyphens w:val="0"/>
                    <w:autoSpaceDN/>
                    <w:spacing w:after="120"/>
                    <w:rPr>
                      <w:color w:val="auto"/>
                      <w:sz w:val="22"/>
                      <w:szCs w:val="22"/>
                      <w:lang w:eastAsia="en-US"/>
                    </w:rPr>
                  </w:pPr>
                  <w:r>
                    <w:rPr>
                      <w:color w:val="auto"/>
                      <w:sz w:val="22"/>
                      <w:szCs w:val="22"/>
                      <w:lang w:eastAsia="en-US"/>
                    </w:rPr>
                    <w:t>57</w:t>
                  </w:r>
                  <w:r w:rsidR="00AD49C4">
                    <w:rPr>
                      <w:color w:val="auto"/>
                      <w:sz w:val="22"/>
                      <w:szCs w:val="22"/>
                      <w:lang w:eastAsia="en-US"/>
                    </w:rPr>
                    <w:t>%</w:t>
                  </w:r>
                </w:p>
              </w:tc>
            </w:tr>
          </w:tbl>
          <w:p w14:paraId="0B15F2EE" w14:textId="701B0BB3" w:rsidR="00AD49C4" w:rsidRDefault="00AD49C4" w:rsidP="00AD49C4">
            <w:pPr>
              <w:suppressAutoHyphens w:val="0"/>
              <w:autoSpaceDN/>
              <w:spacing w:after="120"/>
              <w:jc w:val="both"/>
              <w:rPr>
                <w:color w:val="auto"/>
                <w:sz w:val="22"/>
                <w:szCs w:val="22"/>
                <w:lang w:eastAsia="en-US"/>
              </w:rPr>
            </w:pPr>
            <w:r>
              <w:rPr>
                <w:color w:val="auto"/>
                <w:sz w:val="22"/>
                <w:szCs w:val="22"/>
                <w:lang w:eastAsia="en-US"/>
              </w:rPr>
              <w:t>Of the disadvantaged pupils in Early Years (</w:t>
            </w:r>
            <w:r w:rsidR="00697B54">
              <w:rPr>
                <w:color w:val="auto"/>
                <w:sz w:val="22"/>
                <w:szCs w:val="22"/>
                <w:lang w:eastAsia="en-US"/>
              </w:rPr>
              <w:t>4</w:t>
            </w:r>
            <w:r>
              <w:rPr>
                <w:color w:val="auto"/>
                <w:sz w:val="22"/>
                <w:szCs w:val="22"/>
                <w:lang w:eastAsia="en-US"/>
              </w:rPr>
              <w:t xml:space="preserve"> pupils) </w:t>
            </w:r>
            <w:r w:rsidR="00697B54">
              <w:rPr>
                <w:color w:val="auto"/>
                <w:sz w:val="22"/>
                <w:szCs w:val="22"/>
                <w:lang w:eastAsia="en-US"/>
              </w:rPr>
              <w:t>2</w:t>
            </w:r>
            <w:r>
              <w:rPr>
                <w:color w:val="auto"/>
                <w:sz w:val="22"/>
                <w:szCs w:val="22"/>
                <w:lang w:eastAsia="en-US"/>
              </w:rPr>
              <w:t xml:space="preserve"> achieved ELG in maths. The overall percentage of </w:t>
            </w:r>
            <w:r w:rsidR="00697B54">
              <w:rPr>
                <w:color w:val="auto"/>
                <w:sz w:val="22"/>
                <w:szCs w:val="22"/>
                <w:lang w:eastAsia="en-US"/>
              </w:rPr>
              <w:t>80</w:t>
            </w:r>
            <w:r>
              <w:rPr>
                <w:color w:val="auto"/>
                <w:sz w:val="22"/>
                <w:szCs w:val="22"/>
                <w:lang w:eastAsia="en-US"/>
              </w:rPr>
              <w:t xml:space="preserve">% represents very good progress from the very low baseline.  </w:t>
            </w:r>
          </w:p>
          <w:p w14:paraId="4D7E99A3" w14:textId="04AA2CFC" w:rsidR="00DB7ED4" w:rsidRDefault="00DB7ED4" w:rsidP="00716D8F">
            <w:pPr>
              <w:suppressAutoHyphens w:val="0"/>
              <w:autoSpaceDN/>
              <w:spacing w:after="120"/>
              <w:jc w:val="both"/>
              <w:rPr>
                <w:color w:val="auto"/>
                <w:sz w:val="22"/>
                <w:szCs w:val="22"/>
                <w:lang w:eastAsia="en-US"/>
              </w:rPr>
            </w:pPr>
            <w:r>
              <w:rPr>
                <w:color w:val="auto"/>
                <w:sz w:val="22"/>
                <w:szCs w:val="22"/>
                <w:lang w:eastAsia="en-US"/>
              </w:rPr>
              <w:t xml:space="preserve">MTC </w:t>
            </w:r>
            <w:r w:rsidR="006417B6">
              <w:rPr>
                <w:color w:val="auto"/>
                <w:sz w:val="22"/>
                <w:szCs w:val="22"/>
                <w:lang w:eastAsia="en-US"/>
              </w:rPr>
              <w:t>–</w:t>
            </w:r>
            <w:r>
              <w:rPr>
                <w:color w:val="auto"/>
                <w:sz w:val="22"/>
                <w:szCs w:val="22"/>
                <w:lang w:eastAsia="en-US"/>
              </w:rPr>
              <w:t xml:space="preserve"> </w:t>
            </w:r>
            <w:r w:rsidR="006417B6">
              <w:rPr>
                <w:color w:val="auto"/>
                <w:sz w:val="22"/>
                <w:szCs w:val="22"/>
                <w:lang w:eastAsia="en-US"/>
              </w:rPr>
              <w:t xml:space="preserve">Results </w:t>
            </w:r>
            <w:r w:rsidR="00716D8F">
              <w:rPr>
                <w:color w:val="auto"/>
                <w:sz w:val="22"/>
                <w:szCs w:val="22"/>
                <w:lang w:eastAsia="en-US"/>
              </w:rPr>
              <w:t>show the number of pupils</w:t>
            </w:r>
            <w:r w:rsidR="006417B6">
              <w:rPr>
                <w:color w:val="auto"/>
                <w:sz w:val="22"/>
                <w:szCs w:val="22"/>
                <w:lang w:eastAsia="en-US"/>
              </w:rPr>
              <w:t xml:space="preserve"> scoring </w:t>
            </w:r>
            <w:r w:rsidR="00AD49C4">
              <w:rPr>
                <w:color w:val="auto"/>
                <w:sz w:val="22"/>
                <w:szCs w:val="22"/>
                <w:lang w:eastAsia="en-US"/>
              </w:rPr>
              <w:t xml:space="preserve">full marks </w:t>
            </w:r>
            <w:r w:rsidR="00716D8F">
              <w:rPr>
                <w:color w:val="auto"/>
                <w:sz w:val="22"/>
                <w:szCs w:val="22"/>
                <w:lang w:eastAsia="en-US"/>
              </w:rPr>
              <w:t xml:space="preserve">for the disadvantaged pupils </w:t>
            </w:r>
            <w:r w:rsidR="00C03F13">
              <w:rPr>
                <w:color w:val="auto"/>
                <w:sz w:val="22"/>
                <w:szCs w:val="22"/>
                <w:lang w:eastAsia="en-US"/>
              </w:rPr>
              <w:t>is</w:t>
            </w:r>
            <w:r w:rsidR="006C6B1A">
              <w:rPr>
                <w:color w:val="auto"/>
                <w:sz w:val="22"/>
                <w:szCs w:val="22"/>
                <w:lang w:eastAsia="en-US"/>
              </w:rPr>
              <w:t xml:space="preserve"> in line</w:t>
            </w:r>
            <w:r w:rsidR="00C03F13">
              <w:rPr>
                <w:color w:val="auto"/>
                <w:sz w:val="22"/>
                <w:szCs w:val="22"/>
                <w:lang w:eastAsia="en-US"/>
              </w:rPr>
              <w:t xml:space="preserve"> (</w:t>
            </w:r>
            <w:r w:rsidR="006C6B1A">
              <w:rPr>
                <w:color w:val="auto"/>
                <w:sz w:val="22"/>
                <w:szCs w:val="22"/>
                <w:lang w:eastAsia="en-US"/>
              </w:rPr>
              <w:t>71</w:t>
            </w:r>
            <w:r w:rsidR="00C03F13">
              <w:rPr>
                <w:color w:val="auto"/>
                <w:sz w:val="22"/>
                <w:szCs w:val="22"/>
                <w:lang w:eastAsia="en-US"/>
              </w:rPr>
              <w:t xml:space="preserve">%) </w:t>
            </w:r>
            <w:r w:rsidR="00AD49C4">
              <w:rPr>
                <w:color w:val="auto"/>
                <w:sz w:val="22"/>
                <w:szCs w:val="22"/>
                <w:lang w:eastAsia="en-US"/>
              </w:rPr>
              <w:t xml:space="preserve">     </w:t>
            </w:r>
            <w:r w:rsidR="00C03F13">
              <w:rPr>
                <w:color w:val="auto"/>
                <w:sz w:val="22"/>
                <w:szCs w:val="22"/>
                <w:lang w:eastAsia="en-US"/>
              </w:rPr>
              <w:t>to</w:t>
            </w:r>
            <w:r w:rsidR="006417B6">
              <w:rPr>
                <w:color w:val="auto"/>
                <w:sz w:val="22"/>
                <w:szCs w:val="22"/>
                <w:lang w:eastAsia="en-US"/>
              </w:rPr>
              <w:t xml:space="preserve"> the ‘</w:t>
            </w:r>
            <w:r w:rsidR="00716D8F">
              <w:rPr>
                <w:color w:val="auto"/>
                <w:sz w:val="22"/>
                <w:szCs w:val="22"/>
                <w:lang w:eastAsia="en-US"/>
              </w:rPr>
              <w:t xml:space="preserve">all pupils’ figure. </w:t>
            </w:r>
          </w:p>
          <w:p w14:paraId="0885ACDD" w14:textId="4289197A" w:rsidR="00321473" w:rsidRDefault="0001407C" w:rsidP="00676605">
            <w:pPr>
              <w:suppressAutoHyphens w:val="0"/>
              <w:autoSpaceDN/>
              <w:spacing w:after="120"/>
              <w:rPr>
                <w:color w:val="auto"/>
                <w:sz w:val="22"/>
                <w:szCs w:val="22"/>
                <w:lang w:eastAsia="en-US"/>
              </w:rPr>
            </w:pPr>
            <w:r>
              <w:rPr>
                <w:color w:val="auto"/>
                <w:sz w:val="22"/>
                <w:szCs w:val="22"/>
                <w:lang w:eastAsia="en-US"/>
              </w:rPr>
              <w:t xml:space="preserve">The outcomes for disadvantaged pupils </w:t>
            </w:r>
            <w:r w:rsidR="00AD49C4">
              <w:rPr>
                <w:color w:val="auto"/>
                <w:sz w:val="22"/>
                <w:szCs w:val="22"/>
                <w:lang w:eastAsia="en-US"/>
              </w:rPr>
              <w:t xml:space="preserve">are </w:t>
            </w:r>
            <w:r w:rsidR="006C6B1A">
              <w:rPr>
                <w:color w:val="auto"/>
                <w:sz w:val="22"/>
                <w:szCs w:val="22"/>
                <w:lang w:eastAsia="en-US"/>
              </w:rPr>
              <w:t xml:space="preserve">slightly </w:t>
            </w:r>
            <w:r w:rsidR="00AD49C4">
              <w:rPr>
                <w:color w:val="auto"/>
                <w:sz w:val="22"/>
                <w:szCs w:val="22"/>
                <w:lang w:eastAsia="en-US"/>
              </w:rPr>
              <w:t xml:space="preserve">lower for maths </w:t>
            </w:r>
            <w:r>
              <w:rPr>
                <w:color w:val="auto"/>
                <w:sz w:val="22"/>
                <w:szCs w:val="22"/>
                <w:lang w:eastAsia="en-US"/>
              </w:rPr>
              <w:t>in Year 6</w:t>
            </w:r>
            <w:r w:rsidR="006C6B1A">
              <w:rPr>
                <w:color w:val="auto"/>
                <w:sz w:val="22"/>
                <w:szCs w:val="22"/>
                <w:lang w:eastAsia="en-US"/>
              </w:rPr>
              <w:t>. The whole school focus on girls</w:t>
            </w:r>
            <w:r w:rsidR="00A1768B">
              <w:rPr>
                <w:color w:val="auto"/>
                <w:sz w:val="22"/>
                <w:szCs w:val="22"/>
                <w:lang w:eastAsia="en-US"/>
              </w:rPr>
              <w:t>’</w:t>
            </w:r>
            <w:r w:rsidR="006C6B1A">
              <w:rPr>
                <w:color w:val="auto"/>
                <w:sz w:val="22"/>
                <w:szCs w:val="22"/>
                <w:lang w:eastAsia="en-US"/>
              </w:rPr>
              <w:t xml:space="preserve"> attainment in maths is part of the subject leaders strategy plan and the school development plan. </w:t>
            </w:r>
          </w:p>
          <w:p w14:paraId="69172FC2" w14:textId="77777777" w:rsidR="00A1768B" w:rsidRDefault="00A1768B" w:rsidP="00676605">
            <w:pPr>
              <w:suppressAutoHyphens w:val="0"/>
              <w:autoSpaceDN/>
              <w:spacing w:after="120"/>
              <w:rPr>
                <w:b/>
                <w:color w:val="auto"/>
                <w:sz w:val="22"/>
                <w:szCs w:val="22"/>
                <w:lang w:eastAsia="en-US"/>
              </w:rPr>
            </w:pPr>
          </w:p>
          <w:p w14:paraId="6A3BD34B" w14:textId="77777777" w:rsidR="00A1768B" w:rsidRDefault="00A1768B" w:rsidP="00676605">
            <w:pPr>
              <w:suppressAutoHyphens w:val="0"/>
              <w:autoSpaceDN/>
              <w:spacing w:after="120"/>
              <w:rPr>
                <w:b/>
                <w:color w:val="auto"/>
                <w:sz w:val="22"/>
                <w:szCs w:val="22"/>
                <w:lang w:eastAsia="en-US"/>
              </w:rPr>
            </w:pPr>
          </w:p>
          <w:p w14:paraId="30CCEE77" w14:textId="77777777" w:rsidR="00A1768B" w:rsidRDefault="00A1768B" w:rsidP="00676605">
            <w:pPr>
              <w:suppressAutoHyphens w:val="0"/>
              <w:autoSpaceDN/>
              <w:spacing w:after="120"/>
              <w:rPr>
                <w:b/>
                <w:color w:val="auto"/>
                <w:sz w:val="22"/>
                <w:szCs w:val="22"/>
                <w:lang w:eastAsia="en-US"/>
              </w:rPr>
            </w:pPr>
          </w:p>
          <w:p w14:paraId="2E67DC45" w14:textId="77777777" w:rsidR="00A1768B" w:rsidRDefault="00A1768B" w:rsidP="00676605">
            <w:pPr>
              <w:suppressAutoHyphens w:val="0"/>
              <w:autoSpaceDN/>
              <w:spacing w:after="120"/>
              <w:rPr>
                <w:b/>
                <w:color w:val="auto"/>
                <w:sz w:val="22"/>
                <w:szCs w:val="22"/>
                <w:lang w:eastAsia="en-US"/>
              </w:rPr>
            </w:pPr>
          </w:p>
          <w:p w14:paraId="216C67B8" w14:textId="77777777" w:rsidR="00A1768B" w:rsidRDefault="00A1768B" w:rsidP="00676605">
            <w:pPr>
              <w:suppressAutoHyphens w:val="0"/>
              <w:autoSpaceDN/>
              <w:spacing w:after="120"/>
              <w:rPr>
                <w:b/>
                <w:color w:val="auto"/>
                <w:sz w:val="22"/>
                <w:szCs w:val="22"/>
                <w:lang w:eastAsia="en-US"/>
              </w:rPr>
            </w:pPr>
          </w:p>
          <w:p w14:paraId="145190ED" w14:textId="77777777" w:rsidR="00A1768B" w:rsidRDefault="00A1768B" w:rsidP="00676605">
            <w:pPr>
              <w:suppressAutoHyphens w:val="0"/>
              <w:autoSpaceDN/>
              <w:spacing w:after="120"/>
              <w:rPr>
                <w:b/>
                <w:color w:val="auto"/>
                <w:sz w:val="22"/>
                <w:szCs w:val="22"/>
                <w:lang w:eastAsia="en-US"/>
              </w:rPr>
            </w:pPr>
          </w:p>
          <w:p w14:paraId="41AEC71B" w14:textId="77777777" w:rsidR="00A1768B" w:rsidRDefault="00A1768B" w:rsidP="00676605">
            <w:pPr>
              <w:suppressAutoHyphens w:val="0"/>
              <w:autoSpaceDN/>
              <w:spacing w:after="120"/>
              <w:rPr>
                <w:b/>
                <w:color w:val="auto"/>
                <w:sz w:val="22"/>
                <w:szCs w:val="22"/>
                <w:lang w:eastAsia="en-US"/>
              </w:rPr>
            </w:pPr>
          </w:p>
          <w:p w14:paraId="0BCE2C0F" w14:textId="77777777" w:rsidR="00A1768B" w:rsidRDefault="00A1768B" w:rsidP="00676605">
            <w:pPr>
              <w:suppressAutoHyphens w:val="0"/>
              <w:autoSpaceDN/>
              <w:spacing w:after="120"/>
              <w:rPr>
                <w:b/>
                <w:color w:val="auto"/>
                <w:sz w:val="22"/>
                <w:szCs w:val="22"/>
                <w:lang w:eastAsia="en-US"/>
              </w:rPr>
            </w:pPr>
          </w:p>
          <w:p w14:paraId="313E627F" w14:textId="1425DE4F" w:rsidR="001C78E7" w:rsidRDefault="00716D8F" w:rsidP="00676605">
            <w:pPr>
              <w:suppressAutoHyphens w:val="0"/>
              <w:autoSpaceDN/>
              <w:spacing w:after="120"/>
              <w:rPr>
                <w:b/>
                <w:color w:val="auto"/>
                <w:sz w:val="22"/>
                <w:szCs w:val="22"/>
                <w:lang w:eastAsia="en-US"/>
              </w:rPr>
            </w:pPr>
            <w:r>
              <w:rPr>
                <w:b/>
                <w:color w:val="auto"/>
                <w:sz w:val="22"/>
                <w:szCs w:val="22"/>
                <w:lang w:eastAsia="en-US"/>
              </w:rPr>
              <w:lastRenderedPageBreak/>
              <w:t>Challenge 6</w:t>
            </w:r>
            <w:r w:rsidR="00626F8D" w:rsidRPr="0001407C">
              <w:rPr>
                <w:b/>
                <w:color w:val="auto"/>
                <w:sz w:val="22"/>
                <w:szCs w:val="22"/>
                <w:lang w:eastAsia="en-US"/>
              </w:rPr>
              <w:t xml:space="preserve"> - To improve the attendance and ensure disadvantaged pupils are not persistently absent from school.</w:t>
            </w:r>
          </w:p>
          <w:p w14:paraId="04E155C2" w14:textId="359FD4FD" w:rsidR="001C78E7" w:rsidRDefault="001C78E7" w:rsidP="00676605">
            <w:pPr>
              <w:suppressAutoHyphens w:val="0"/>
              <w:autoSpaceDN/>
              <w:spacing w:after="120"/>
              <w:rPr>
                <w:b/>
                <w:color w:val="auto"/>
                <w:sz w:val="22"/>
                <w:szCs w:val="22"/>
                <w:lang w:eastAsia="en-US"/>
              </w:rPr>
            </w:pPr>
            <w:r w:rsidRPr="001C78E7">
              <w:rPr>
                <w:b/>
                <w:noProof/>
                <w:color w:val="auto"/>
                <w:sz w:val="22"/>
                <w:szCs w:val="22"/>
                <w:lang w:eastAsia="en-US"/>
              </w:rPr>
              <w:drawing>
                <wp:anchor distT="0" distB="0" distL="114300" distR="114300" simplePos="0" relativeHeight="251661312" behindDoc="1" locked="0" layoutInCell="1" allowOverlap="1" wp14:anchorId="4FBABB16" wp14:editId="34C3F51E">
                  <wp:simplePos x="0" y="0"/>
                  <wp:positionH relativeFrom="column">
                    <wp:posOffset>-635</wp:posOffset>
                  </wp:positionH>
                  <wp:positionV relativeFrom="paragraph">
                    <wp:posOffset>1905</wp:posOffset>
                  </wp:positionV>
                  <wp:extent cx="4442460" cy="2710573"/>
                  <wp:effectExtent l="0" t="0" r="0" b="0"/>
                  <wp:wrapTight wrapText="bothSides">
                    <wp:wrapPolygon edited="0">
                      <wp:start x="0" y="0"/>
                      <wp:lineTo x="0" y="21408"/>
                      <wp:lineTo x="21489" y="21408"/>
                      <wp:lineTo x="21489" y="0"/>
                      <wp:lineTo x="0" y="0"/>
                    </wp:wrapPolygon>
                  </wp:wrapTight>
                  <wp:docPr id="66592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20149" name=""/>
                          <pic:cNvPicPr/>
                        </pic:nvPicPr>
                        <pic:blipFill>
                          <a:blip r:embed="rId45">
                            <a:extLst>
                              <a:ext uri="{28A0092B-C50C-407E-A947-70E740481C1C}">
                                <a14:useLocalDpi xmlns:a14="http://schemas.microsoft.com/office/drawing/2010/main" val="0"/>
                              </a:ext>
                            </a:extLst>
                          </a:blip>
                          <a:stretch>
                            <a:fillRect/>
                          </a:stretch>
                        </pic:blipFill>
                        <pic:spPr>
                          <a:xfrm>
                            <a:off x="0" y="0"/>
                            <a:ext cx="4442460" cy="2710573"/>
                          </a:xfrm>
                          <a:prstGeom prst="rect">
                            <a:avLst/>
                          </a:prstGeom>
                        </pic:spPr>
                      </pic:pic>
                    </a:graphicData>
                  </a:graphic>
                  <wp14:sizeRelH relativeFrom="page">
                    <wp14:pctWidth>0</wp14:pctWidth>
                  </wp14:sizeRelH>
                  <wp14:sizeRelV relativeFrom="page">
                    <wp14:pctHeight>0</wp14:pctHeight>
                  </wp14:sizeRelV>
                </wp:anchor>
              </w:drawing>
            </w:r>
          </w:p>
          <w:p w14:paraId="4900A809" w14:textId="77777777" w:rsidR="001C78E7" w:rsidRDefault="001C78E7" w:rsidP="00676605">
            <w:pPr>
              <w:suppressAutoHyphens w:val="0"/>
              <w:autoSpaceDN/>
              <w:spacing w:after="120"/>
              <w:rPr>
                <w:b/>
                <w:color w:val="auto"/>
                <w:sz w:val="22"/>
                <w:szCs w:val="22"/>
                <w:lang w:eastAsia="en-US"/>
              </w:rPr>
            </w:pPr>
          </w:p>
          <w:p w14:paraId="19351CE5" w14:textId="073C6358" w:rsidR="00626F8D" w:rsidRDefault="00626F8D" w:rsidP="00676605">
            <w:pPr>
              <w:suppressAutoHyphens w:val="0"/>
              <w:autoSpaceDN/>
              <w:spacing w:after="120"/>
              <w:rPr>
                <w:b/>
                <w:color w:val="auto"/>
                <w:sz w:val="22"/>
                <w:szCs w:val="22"/>
                <w:lang w:eastAsia="en-US"/>
              </w:rPr>
            </w:pPr>
            <w:r w:rsidRPr="0001407C">
              <w:rPr>
                <w:b/>
                <w:color w:val="auto"/>
                <w:sz w:val="22"/>
                <w:szCs w:val="22"/>
                <w:lang w:eastAsia="en-US"/>
              </w:rPr>
              <w:t xml:space="preserve"> </w:t>
            </w:r>
          </w:p>
          <w:p w14:paraId="4F828B4D" w14:textId="4F744786" w:rsidR="00C03F13" w:rsidRDefault="00C03F13" w:rsidP="00676605">
            <w:pPr>
              <w:suppressAutoHyphens w:val="0"/>
              <w:autoSpaceDN/>
              <w:spacing w:after="120"/>
              <w:rPr>
                <w:b/>
                <w:color w:val="auto"/>
                <w:sz w:val="22"/>
                <w:szCs w:val="22"/>
                <w:lang w:eastAsia="en-US"/>
              </w:rPr>
            </w:pPr>
          </w:p>
          <w:p w14:paraId="0D712416" w14:textId="5CAA007E" w:rsidR="00C03F13" w:rsidRDefault="00C03F13" w:rsidP="00676605">
            <w:pPr>
              <w:suppressAutoHyphens w:val="0"/>
              <w:autoSpaceDN/>
              <w:spacing w:after="120"/>
              <w:rPr>
                <w:b/>
                <w:color w:val="auto"/>
                <w:sz w:val="22"/>
                <w:szCs w:val="22"/>
                <w:lang w:eastAsia="en-US"/>
              </w:rPr>
            </w:pPr>
          </w:p>
          <w:p w14:paraId="1FD7262A" w14:textId="3170FF9F" w:rsidR="00C03F13" w:rsidRDefault="00C03F13" w:rsidP="00676605">
            <w:pPr>
              <w:suppressAutoHyphens w:val="0"/>
              <w:autoSpaceDN/>
              <w:spacing w:after="120"/>
              <w:rPr>
                <w:b/>
                <w:color w:val="auto"/>
                <w:sz w:val="22"/>
                <w:szCs w:val="22"/>
                <w:lang w:eastAsia="en-US"/>
              </w:rPr>
            </w:pPr>
          </w:p>
          <w:p w14:paraId="38BBB7E9" w14:textId="461CE2B5" w:rsidR="00C03F13" w:rsidRDefault="00C03F13" w:rsidP="00676605">
            <w:pPr>
              <w:suppressAutoHyphens w:val="0"/>
              <w:autoSpaceDN/>
              <w:spacing w:after="120"/>
              <w:rPr>
                <w:b/>
                <w:color w:val="auto"/>
                <w:sz w:val="22"/>
                <w:szCs w:val="22"/>
                <w:lang w:eastAsia="en-US"/>
              </w:rPr>
            </w:pPr>
          </w:p>
          <w:p w14:paraId="6C24CFA8" w14:textId="731B2EE1" w:rsidR="00C03F13" w:rsidRDefault="00C03F13" w:rsidP="00676605">
            <w:pPr>
              <w:suppressAutoHyphens w:val="0"/>
              <w:autoSpaceDN/>
              <w:spacing w:after="120"/>
              <w:rPr>
                <w:b/>
                <w:color w:val="auto"/>
                <w:sz w:val="22"/>
                <w:szCs w:val="22"/>
                <w:lang w:eastAsia="en-US"/>
              </w:rPr>
            </w:pPr>
          </w:p>
          <w:p w14:paraId="1796FC2E" w14:textId="049797A4" w:rsidR="00477999" w:rsidRDefault="00477999" w:rsidP="00676605">
            <w:pPr>
              <w:suppressAutoHyphens w:val="0"/>
              <w:autoSpaceDN/>
              <w:spacing w:after="120"/>
              <w:rPr>
                <w:color w:val="0070C0"/>
                <w:lang w:eastAsia="en-US"/>
              </w:rPr>
            </w:pPr>
          </w:p>
          <w:p w14:paraId="2A1B7DDB" w14:textId="77777777" w:rsidR="00422AA8" w:rsidRDefault="00422AA8" w:rsidP="00676605">
            <w:pPr>
              <w:suppressAutoHyphens w:val="0"/>
              <w:autoSpaceDN/>
              <w:spacing w:after="120"/>
              <w:rPr>
                <w:color w:val="auto"/>
                <w:sz w:val="22"/>
                <w:szCs w:val="22"/>
                <w:lang w:eastAsia="en-US"/>
              </w:rPr>
            </w:pPr>
          </w:p>
          <w:p w14:paraId="5CDA026B" w14:textId="557605FB" w:rsidR="00422AA8" w:rsidRDefault="00422AA8" w:rsidP="00676605">
            <w:pPr>
              <w:suppressAutoHyphens w:val="0"/>
              <w:autoSpaceDN/>
              <w:spacing w:after="120"/>
              <w:rPr>
                <w:color w:val="auto"/>
                <w:sz w:val="22"/>
                <w:szCs w:val="22"/>
                <w:lang w:eastAsia="en-US"/>
              </w:rPr>
            </w:pPr>
            <w:r w:rsidRPr="00422AA8">
              <w:rPr>
                <w:b/>
                <w:noProof/>
                <w:color w:val="auto"/>
                <w:sz w:val="22"/>
                <w:szCs w:val="22"/>
                <w:lang w:eastAsia="en-US"/>
              </w:rPr>
              <w:drawing>
                <wp:anchor distT="0" distB="0" distL="114300" distR="114300" simplePos="0" relativeHeight="251662336" behindDoc="1" locked="0" layoutInCell="1" allowOverlap="1" wp14:anchorId="34095C1B" wp14:editId="071CA504">
                  <wp:simplePos x="0" y="0"/>
                  <wp:positionH relativeFrom="column">
                    <wp:posOffset>67945</wp:posOffset>
                  </wp:positionH>
                  <wp:positionV relativeFrom="paragraph">
                    <wp:posOffset>184785</wp:posOffset>
                  </wp:positionV>
                  <wp:extent cx="6029960" cy="1812925"/>
                  <wp:effectExtent l="0" t="0" r="8890" b="0"/>
                  <wp:wrapTight wrapText="bothSides">
                    <wp:wrapPolygon edited="0">
                      <wp:start x="0" y="0"/>
                      <wp:lineTo x="0" y="21335"/>
                      <wp:lineTo x="21564" y="21335"/>
                      <wp:lineTo x="21564" y="0"/>
                      <wp:lineTo x="0" y="0"/>
                    </wp:wrapPolygon>
                  </wp:wrapTight>
                  <wp:docPr id="2050281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81909" name=""/>
                          <pic:cNvPicPr/>
                        </pic:nvPicPr>
                        <pic:blipFill>
                          <a:blip r:embed="rId46">
                            <a:extLst>
                              <a:ext uri="{28A0092B-C50C-407E-A947-70E740481C1C}">
                                <a14:useLocalDpi xmlns:a14="http://schemas.microsoft.com/office/drawing/2010/main" val="0"/>
                              </a:ext>
                            </a:extLst>
                          </a:blip>
                          <a:stretch>
                            <a:fillRect/>
                          </a:stretch>
                        </pic:blipFill>
                        <pic:spPr>
                          <a:xfrm>
                            <a:off x="0" y="0"/>
                            <a:ext cx="6029960" cy="1812925"/>
                          </a:xfrm>
                          <a:prstGeom prst="rect">
                            <a:avLst/>
                          </a:prstGeom>
                        </pic:spPr>
                      </pic:pic>
                    </a:graphicData>
                  </a:graphic>
                  <wp14:sizeRelH relativeFrom="page">
                    <wp14:pctWidth>0</wp14:pctWidth>
                  </wp14:sizeRelH>
                  <wp14:sizeRelV relativeFrom="page">
                    <wp14:pctHeight>0</wp14:pctHeight>
                  </wp14:sizeRelV>
                </wp:anchor>
              </w:drawing>
            </w:r>
          </w:p>
          <w:p w14:paraId="1A86995F" w14:textId="74A3DE56" w:rsidR="00422AA8" w:rsidRDefault="00422AA8" w:rsidP="00676605">
            <w:pPr>
              <w:suppressAutoHyphens w:val="0"/>
              <w:autoSpaceDN/>
              <w:spacing w:after="120"/>
              <w:rPr>
                <w:color w:val="auto"/>
                <w:sz w:val="22"/>
                <w:szCs w:val="22"/>
                <w:lang w:eastAsia="en-US"/>
              </w:rPr>
            </w:pPr>
          </w:p>
          <w:p w14:paraId="516E3DA9" w14:textId="3A04107D" w:rsidR="00422AA8" w:rsidRDefault="00422AA8" w:rsidP="00676605">
            <w:pPr>
              <w:suppressAutoHyphens w:val="0"/>
              <w:autoSpaceDN/>
              <w:spacing w:after="120"/>
              <w:rPr>
                <w:color w:val="auto"/>
                <w:sz w:val="22"/>
                <w:szCs w:val="22"/>
                <w:lang w:eastAsia="en-US"/>
              </w:rPr>
            </w:pPr>
          </w:p>
          <w:p w14:paraId="7B3B6ACE" w14:textId="77777777" w:rsidR="00422AA8" w:rsidRDefault="00422AA8" w:rsidP="00676605">
            <w:pPr>
              <w:suppressAutoHyphens w:val="0"/>
              <w:autoSpaceDN/>
              <w:spacing w:after="120"/>
              <w:rPr>
                <w:color w:val="auto"/>
                <w:sz w:val="22"/>
                <w:szCs w:val="22"/>
                <w:lang w:eastAsia="en-US"/>
              </w:rPr>
            </w:pPr>
          </w:p>
          <w:p w14:paraId="3325C130" w14:textId="091533AE" w:rsidR="00422AA8" w:rsidRDefault="00422AA8" w:rsidP="00676605">
            <w:pPr>
              <w:suppressAutoHyphens w:val="0"/>
              <w:autoSpaceDN/>
              <w:spacing w:after="120"/>
              <w:rPr>
                <w:color w:val="auto"/>
                <w:sz w:val="22"/>
                <w:szCs w:val="22"/>
                <w:lang w:eastAsia="en-US"/>
              </w:rPr>
            </w:pPr>
          </w:p>
          <w:p w14:paraId="735C4F5E" w14:textId="36C6CD5A" w:rsidR="00422AA8" w:rsidRDefault="00422AA8" w:rsidP="00676605">
            <w:pPr>
              <w:suppressAutoHyphens w:val="0"/>
              <w:autoSpaceDN/>
              <w:spacing w:after="120"/>
              <w:rPr>
                <w:color w:val="auto"/>
                <w:sz w:val="22"/>
                <w:szCs w:val="22"/>
                <w:lang w:eastAsia="en-US"/>
              </w:rPr>
            </w:pPr>
          </w:p>
          <w:p w14:paraId="1FDDA33E" w14:textId="0A9929F9" w:rsidR="00422AA8" w:rsidRDefault="00422AA8" w:rsidP="00676605">
            <w:pPr>
              <w:suppressAutoHyphens w:val="0"/>
              <w:autoSpaceDN/>
              <w:spacing w:after="120"/>
              <w:rPr>
                <w:color w:val="auto"/>
                <w:sz w:val="22"/>
                <w:szCs w:val="22"/>
                <w:lang w:eastAsia="en-US"/>
              </w:rPr>
            </w:pPr>
          </w:p>
          <w:p w14:paraId="3155B779" w14:textId="12D6DB3A" w:rsidR="00422AA8" w:rsidRDefault="00422AA8" w:rsidP="00676605">
            <w:pPr>
              <w:suppressAutoHyphens w:val="0"/>
              <w:autoSpaceDN/>
              <w:spacing w:after="120"/>
              <w:rPr>
                <w:color w:val="auto"/>
                <w:sz w:val="22"/>
                <w:szCs w:val="22"/>
                <w:lang w:eastAsia="en-US"/>
              </w:rPr>
            </w:pPr>
          </w:p>
          <w:p w14:paraId="1FAD6100" w14:textId="568467EE" w:rsidR="00825D32" w:rsidRPr="00CC5ED1" w:rsidRDefault="00825D32" w:rsidP="00676605">
            <w:pPr>
              <w:suppressAutoHyphens w:val="0"/>
              <w:autoSpaceDN/>
              <w:spacing w:after="120"/>
              <w:rPr>
                <w:color w:val="auto"/>
                <w:sz w:val="22"/>
                <w:szCs w:val="22"/>
                <w:lang w:eastAsia="en-US"/>
              </w:rPr>
            </w:pPr>
            <w:r w:rsidRPr="00CC5ED1">
              <w:rPr>
                <w:color w:val="auto"/>
                <w:sz w:val="22"/>
                <w:szCs w:val="22"/>
                <w:lang w:eastAsia="en-US"/>
              </w:rPr>
              <w:t>Attendance</w:t>
            </w:r>
            <w:r w:rsidR="00716D8F">
              <w:rPr>
                <w:color w:val="auto"/>
                <w:sz w:val="22"/>
                <w:szCs w:val="22"/>
                <w:lang w:eastAsia="en-US"/>
              </w:rPr>
              <w:t xml:space="preserve"> overall is in line with the national </w:t>
            </w:r>
            <w:r w:rsidR="00477999">
              <w:rPr>
                <w:color w:val="auto"/>
                <w:sz w:val="22"/>
                <w:szCs w:val="22"/>
                <w:lang w:eastAsia="en-US"/>
              </w:rPr>
              <w:t xml:space="preserve">expected </w:t>
            </w:r>
            <w:r w:rsidR="00716D8F">
              <w:rPr>
                <w:color w:val="auto"/>
                <w:sz w:val="22"/>
                <w:szCs w:val="22"/>
                <w:lang w:eastAsia="en-US"/>
              </w:rPr>
              <w:t>figure of 95%. The attendance figure</w:t>
            </w:r>
            <w:r w:rsidRPr="00CC5ED1">
              <w:rPr>
                <w:color w:val="auto"/>
                <w:sz w:val="22"/>
                <w:szCs w:val="22"/>
                <w:lang w:eastAsia="en-US"/>
              </w:rPr>
              <w:t xml:space="preserve"> for disadvantaged pupils remained below the whole school figure for the s</w:t>
            </w:r>
            <w:r w:rsidR="00716D8F">
              <w:rPr>
                <w:color w:val="auto"/>
                <w:sz w:val="22"/>
                <w:szCs w:val="22"/>
                <w:lang w:eastAsia="en-US"/>
              </w:rPr>
              <w:t>econd year in a row although only</w:t>
            </w:r>
            <w:r w:rsidR="00477999">
              <w:rPr>
                <w:color w:val="auto"/>
                <w:sz w:val="22"/>
                <w:szCs w:val="22"/>
                <w:lang w:eastAsia="en-US"/>
              </w:rPr>
              <w:t xml:space="preserve"> by </w:t>
            </w:r>
            <w:r w:rsidR="005B415E">
              <w:rPr>
                <w:color w:val="auto"/>
                <w:sz w:val="22"/>
                <w:szCs w:val="22"/>
                <w:lang w:eastAsia="en-US"/>
              </w:rPr>
              <w:t>0.2</w:t>
            </w:r>
            <w:r w:rsidRPr="00CC5ED1">
              <w:rPr>
                <w:color w:val="auto"/>
                <w:sz w:val="22"/>
                <w:szCs w:val="22"/>
                <w:lang w:eastAsia="en-US"/>
              </w:rPr>
              <w:t xml:space="preserve">%.  </w:t>
            </w:r>
          </w:p>
          <w:p w14:paraId="2A7D5546" w14:textId="7E82319B" w:rsidR="00981485" w:rsidRPr="00CC5ED1" w:rsidRDefault="00825D32" w:rsidP="00716D8F">
            <w:pPr>
              <w:suppressAutoHyphens w:val="0"/>
              <w:autoSpaceDN/>
              <w:spacing w:after="120"/>
              <w:rPr>
                <w:color w:val="auto"/>
                <w:sz w:val="22"/>
                <w:szCs w:val="22"/>
                <w:lang w:eastAsia="en-US"/>
              </w:rPr>
            </w:pPr>
            <w:r w:rsidRPr="00CC5ED1">
              <w:rPr>
                <w:color w:val="auto"/>
                <w:sz w:val="22"/>
                <w:szCs w:val="22"/>
                <w:lang w:eastAsia="en-US"/>
              </w:rPr>
              <w:t xml:space="preserve">Persistent absentees </w:t>
            </w:r>
            <w:r w:rsidR="009C158F" w:rsidRPr="00CC5ED1">
              <w:rPr>
                <w:color w:val="auto"/>
                <w:sz w:val="22"/>
                <w:szCs w:val="22"/>
                <w:lang w:eastAsia="en-US"/>
              </w:rPr>
              <w:t>need further monitoring</w:t>
            </w:r>
            <w:r w:rsidR="00716D8F">
              <w:rPr>
                <w:color w:val="auto"/>
                <w:sz w:val="22"/>
                <w:szCs w:val="22"/>
                <w:lang w:eastAsia="en-US"/>
              </w:rPr>
              <w:t xml:space="preserve">. </w:t>
            </w:r>
            <w:r w:rsidR="005B415E">
              <w:rPr>
                <w:color w:val="auto"/>
                <w:sz w:val="22"/>
                <w:szCs w:val="22"/>
                <w:lang w:eastAsia="en-US"/>
              </w:rPr>
              <w:t>The</w:t>
            </w:r>
            <w:r w:rsidR="00716D8F">
              <w:rPr>
                <w:color w:val="auto"/>
                <w:sz w:val="22"/>
                <w:szCs w:val="22"/>
                <w:lang w:eastAsia="en-US"/>
              </w:rPr>
              <w:t xml:space="preserve"> </w:t>
            </w:r>
            <w:r w:rsidR="009C158F" w:rsidRPr="00CC5ED1">
              <w:rPr>
                <w:color w:val="auto"/>
                <w:sz w:val="22"/>
                <w:szCs w:val="22"/>
                <w:lang w:eastAsia="en-US"/>
              </w:rPr>
              <w:t xml:space="preserve">attendance officer </w:t>
            </w:r>
            <w:r w:rsidR="00716D8F">
              <w:rPr>
                <w:color w:val="auto"/>
                <w:sz w:val="22"/>
                <w:szCs w:val="22"/>
                <w:lang w:eastAsia="en-US"/>
              </w:rPr>
              <w:t>ensure</w:t>
            </w:r>
            <w:r w:rsidR="005B415E">
              <w:rPr>
                <w:color w:val="auto"/>
                <w:sz w:val="22"/>
                <w:szCs w:val="22"/>
                <w:lang w:eastAsia="en-US"/>
              </w:rPr>
              <w:t>s</w:t>
            </w:r>
            <w:r w:rsidR="00716D8F">
              <w:rPr>
                <w:color w:val="auto"/>
                <w:sz w:val="22"/>
                <w:szCs w:val="22"/>
                <w:lang w:eastAsia="en-US"/>
              </w:rPr>
              <w:t xml:space="preserve"> the strategy for improving the attendance of the disadvantag</w:t>
            </w:r>
            <w:r w:rsidR="009C158F" w:rsidRPr="00CC5ED1">
              <w:rPr>
                <w:color w:val="auto"/>
                <w:sz w:val="22"/>
                <w:szCs w:val="22"/>
                <w:lang w:eastAsia="en-US"/>
              </w:rPr>
              <w:t xml:space="preserve">ed pupils can be </w:t>
            </w:r>
            <w:r w:rsidR="00716D8F">
              <w:rPr>
                <w:color w:val="auto"/>
                <w:sz w:val="22"/>
                <w:szCs w:val="22"/>
                <w:lang w:eastAsia="en-US"/>
              </w:rPr>
              <w:t>monitored</w:t>
            </w:r>
            <w:r w:rsidR="009C158F" w:rsidRPr="00CC5ED1">
              <w:rPr>
                <w:color w:val="auto"/>
                <w:sz w:val="22"/>
                <w:szCs w:val="22"/>
                <w:lang w:eastAsia="en-US"/>
              </w:rPr>
              <w:t xml:space="preserve"> more closely </w:t>
            </w:r>
            <w:r w:rsidR="00716D8F">
              <w:rPr>
                <w:color w:val="auto"/>
                <w:sz w:val="22"/>
                <w:szCs w:val="22"/>
                <w:lang w:eastAsia="en-US"/>
              </w:rPr>
              <w:t>and suppor</w:t>
            </w:r>
            <w:r w:rsidR="009C158F" w:rsidRPr="00CC5ED1">
              <w:rPr>
                <w:color w:val="auto"/>
                <w:sz w:val="22"/>
                <w:szCs w:val="22"/>
                <w:lang w:eastAsia="en-US"/>
              </w:rPr>
              <w:t>t provide.</w:t>
            </w:r>
            <w:r w:rsidR="00716D8F">
              <w:rPr>
                <w:color w:val="auto"/>
                <w:sz w:val="22"/>
                <w:szCs w:val="22"/>
                <w:lang w:eastAsia="en-US"/>
              </w:rPr>
              <w:t xml:space="preserve">  The SENCO and Senior Mental Health Lead are work</w:t>
            </w:r>
            <w:r w:rsidR="009C158F" w:rsidRPr="00CC5ED1">
              <w:rPr>
                <w:color w:val="auto"/>
                <w:sz w:val="22"/>
                <w:szCs w:val="22"/>
                <w:lang w:eastAsia="en-US"/>
              </w:rPr>
              <w:t xml:space="preserve">ing with </w:t>
            </w:r>
            <w:r w:rsidR="00716D8F">
              <w:rPr>
                <w:color w:val="auto"/>
                <w:sz w:val="22"/>
                <w:szCs w:val="22"/>
                <w:lang w:eastAsia="en-US"/>
              </w:rPr>
              <w:t xml:space="preserve">some </w:t>
            </w:r>
            <w:r w:rsidR="009C158F" w:rsidRPr="00CC5ED1">
              <w:rPr>
                <w:color w:val="auto"/>
                <w:sz w:val="22"/>
                <w:szCs w:val="22"/>
                <w:lang w:eastAsia="en-US"/>
              </w:rPr>
              <w:t xml:space="preserve">families to ensure children </w:t>
            </w:r>
            <w:r w:rsidR="00716D8F">
              <w:rPr>
                <w:color w:val="auto"/>
                <w:sz w:val="22"/>
                <w:szCs w:val="22"/>
                <w:lang w:eastAsia="en-US"/>
              </w:rPr>
              <w:t>are receiving the emotional heal</w:t>
            </w:r>
            <w:r w:rsidR="009C158F" w:rsidRPr="00CC5ED1">
              <w:rPr>
                <w:color w:val="auto"/>
                <w:sz w:val="22"/>
                <w:szCs w:val="22"/>
                <w:lang w:eastAsia="en-US"/>
              </w:rPr>
              <w:t xml:space="preserve">th and wellbeing support </w:t>
            </w:r>
            <w:r w:rsidR="00716D8F">
              <w:rPr>
                <w:color w:val="auto"/>
                <w:sz w:val="22"/>
                <w:szCs w:val="22"/>
                <w:lang w:eastAsia="en-US"/>
              </w:rPr>
              <w:t>they need. Support from the Learning M</w:t>
            </w:r>
            <w:r w:rsidR="00CC5ED1" w:rsidRPr="00CC5ED1">
              <w:rPr>
                <w:color w:val="auto"/>
                <w:sz w:val="22"/>
                <w:szCs w:val="22"/>
                <w:lang w:eastAsia="en-US"/>
              </w:rPr>
              <w:t>entor</w:t>
            </w:r>
            <w:r w:rsidR="00716D8F">
              <w:rPr>
                <w:color w:val="auto"/>
                <w:sz w:val="22"/>
                <w:szCs w:val="22"/>
                <w:lang w:eastAsia="en-US"/>
              </w:rPr>
              <w:t>, Play T</w:t>
            </w:r>
            <w:r w:rsidR="00CC5ED1" w:rsidRPr="00CC5ED1">
              <w:rPr>
                <w:color w:val="auto"/>
                <w:sz w:val="22"/>
                <w:szCs w:val="22"/>
                <w:lang w:eastAsia="en-US"/>
              </w:rPr>
              <w:t xml:space="preserve">herapist, </w:t>
            </w:r>
            <w:r w:rsidR="00716D8F">
              <w:rPr>
                <w:color w:val="auto"/>
                <w:sz w:val="22"/>
                <w:szCs w:val="22"/>
                <w:lang w:eastAsia="en-US"/>
              </w:rPr>
              <w:t>M</w:t>
            </w:r>
            <w:r w:rsidR="00CC5ED1" w:rsidRPr="00CC5ED1">
              <w:rPr>
                <w:color w:val="auto"/>
                <w:sz w:val="22"/>
                <w:szCs w:val="22"/>
                <w:lang w:eastAsia="en-US"/>
              </w:rPr>
              <w:t xml:space="preserve">ental </w:t>
            </w:r>
            <w:r w:rsidR="00716D8F">
              <w:rPr>
                <w:color w:val="auto"/>
                <w:sz w:val="22"/>
                <w:szCs w:val="22"/>
                <w:lang w:eastAsia="en-US"/>
              </w:rPr>
              <w:t xml:space="preserve">Health in Schools Team or CAMHs is also in place for eligible pupils. </w:t>
            </w:r>
          </w:p>
        </w:tc>
      </w:tr>
    </w:tbl>
    <w:bookmarkEnd w:id="14"/>
    <w:bookmarkEnd w:id="15"/>
    <w:bookmarkEnd w:id="16"/>
    <w:p w14:paraId="0B57234B" w14:textId="26950D83" w:rsidR="00994177" w:rsidRPr="00994177" w:rsidRDefault="00994177" w:rsidP="00994177">
      <w:pPr>
        <w:keepNext/>
        <w:spacing w:before="600" w:line="240" w:lineRule="auto"/>
        <w:outlineLvl w:val="1"/>
        <w:rPr>
          <w:b/>
          <w:color w:val="104F75"/>
          <w:sz w:val="32"/>
          <w:szCs w:val="32"/>
        </w:rPr>
      </w:pPr>
      <w:r w:rsidRPr="00994177">
        <w:rPr>
          <w:b/>
          <w:color w:val="104F75"/>
          <w:sz w:val="32"/>
          <w:szCs w:val="32"/>
        </w:rP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994177" w:rsidRPr="00994177" w14:paraId="67654554" w14:textId="77777777" w:rsidTr="00335C6B">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F1A6E6" w14:textId="77777777" w:rsidR="00994177" w:rsidRPr="00994177" w:rsidRDefault="00994177" w:rsidP="00994177">
            <w:pPr>
              <w:spacing w:before="60" w:after="60" w:line="240" w:lineRule="auto"/>
              <w:ind w:left="57" w:right="57"/>
              <w:rPr>
                <w:b/>
              </w:rPr>
            </w:pPr>
            <w:r w:rsidRPr="00994177">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99C974D" w14:textId="77777777" w:rsidR="00994177" w:rsidRPr="00994177" w:rsidRDefault="00994177" w:rsidP="00994177">
            <w:pPr>
              <w:spacing w:before="60" w:after="60" w:line="240" w:lineRule="auto"/>
              <w:ind w:left="57" w:right="57"/>
              <w:rPr>
                <w:b/>
              </w:rPr>
            </w:pPr>
            <w:r w:rsidRPr="00994177">
              <w:rPr>
                <w:b/>
              </w:rPr>
              <w:t>Provider</w:t>
            </w:r>
          </w:p>
        </w:tc>
      </w:tr>
      <w:tr w:rsidR="00994177" w:rsidRPr="00994177" w14:paraId="1899374E" w14:textId="77777777" w:rsidTr="00335C6B">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97FC" w14:textId="4F262671" w:rsidR="00994177" w:rsidRPr="00676605" w:rsidRDefault="00676605" w:rsidP="00994177">
            <w:pPr>
              <w:spacing w:before="60" w:after="60" w:line="240" w:lineRule="auto"/>
              <w:ind w:left="57" w:right="57"/>
              <w:rPr>
                <w:color w:val="auto"/>
              </w:rPr>
            </w:pPr>
            <w:r w:rsidRPr="00676605">
              <w:rPr>
                <w:color w:val="auto"/>
              </w:rPr>
              <w:t>NELI</w:t>
            </w:r>
            <w:r w:rsidR="001812CF">
              <w:rPr>
                <w:color w:val="auto"/>
              </w:rPr>
              <w:t>/Language Screen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06AAD" w14:textId="64A453C1" w:rsidR="00994177" w:rsidRPr="00676605" w:rsidRDefault="001812CF" w:rsidP="00994177">
            <w:pPr>
              <w:spacing w:before="60" w:after="60" w:line="240" w:lineRule="auto"/>
              <w:ind w:left="57" w:right="57"/>
              <w:rPr>
                <w:color w:val="auto"/>
                <w:szCs w:val="20"/>
              </w:rPr>
            </w:pPr>
            <w:r>
              <w:rPr>
                <w:color w:val="auto"/>
                <w:szCs w:val="20"/>
              </w:rPr>
              <w:t>Pearson/Oxford ed</w:t>
            </w:r>
          </w:p>
        </w:tc>
      </w:tr>
      <w:tr w:rsidR="00994177" w:rsidRPr="00994177" w14:paraId="3DDC77FF" w14:textId="77777777" w:rsidTr="00335C6B">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B779D" w14:textId="1DACA30D" w:rsidR="00994177" w:rsidRPr="00676605" w:rsidRDefault="00994177" w:rsidP="00994177">
            <w:pPr>
              <w:spacing w:before="60" w:after="60" w:line="240" w:lineRule="auto"/>
              <w:ind w:left="57" w:right="57"/>
              <w:rPr>
                <w:color w:val="auto"/>
              </w:rPr>
            </w:pPr>
            <w:r w:rsidRPr="00676605">
              <w:rPr>
                <w:color w:val="auto"/>
              </w:rPr>
              <w:t xml:space="preserve">TT </w:t>
            </w:r>
            <w:r w:rsidR="00FB3D52" w:rsidRPr="00676605">
              <w:rPr>
                <w:color w:val="auto"/>
              </w:rPr>
              <w:t>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8986E" w14:textId="48307EAE" w:rsidR="00994177" w:rsidRPr="00676605" w:rsidRDefault="001812CF" w:rsidP="00994177">
            <w:pPr>
              <w:spacing w:before="60" w:after="60" w:line="240" w:lineRule="auto"/>
              <w:ind w:left="57" w:right="57"/>
              <w:rPr>
                <w:color w:val="auto"/>
                <w:szCs w:val="20"/>
              </w:rPr>
            </w:pPr>
            <w:r>
              <w:rPr>
                <w:color w:val="auto"/>
                <w:szCs w:val="20"/>
              </w:rPr>
              <w:t>Maths Circle</w:t>
            </w:r>
          </w:p>
        </w:tc>
      </w:tr>
      <w:tr w:rsidR="00676605" w:rsidRPr="00994177" w14:paraId="06F6C1EA" w14:textId="77777777" w:rsidTr="00335C6B">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15AE" w14:textId="66DD89EA" w:rsidR="00676605" w:rsidRPr="00676605" w:rsidRDefault="00676605" w:rsidP="00994177">
            <w:pPr>
              <w:spacing w:before="60" w:after="60" w:line="240" w:lineRule="auto"/>
              <w:ind w:left="57" w:right="57"/>
              <w:rPr>
                <w:color w:val="auto"/>
              </w:rPr>
            </w:pPr>
            <w:r w:rsidRPr="00676605">
              <w:rPr>
                <w:color w:val="auto"/>
              </w:rPr>
              <w:t>Number sense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E649E" w14:textId="6EEB2021" w:rsidR="00676605" w:rsidRPr="00676605" w:rsidRDefault="001812CF" w:rsidP="00994177">
            <w:pPr>
              <w:spacing w:before="60" w:after="60" w:line="240" w:lineRule="auto"/>
              <w:ind w:left="57" w:right="57"/>
              <w:rPr>
                <w:color w:val="auto"/>
                <w:szCs w:val="20"/>
              </w:rPr>
            </w:pPr>
            <w:r>
              <w:rPr>
                <w:color w:val="auto"/>
                <w:szCs w:val="20"/>
              </w:rPr>
              <w:t>Number Sense Maths Ltd</w:t>
            </w:r>
          </w:p>
        </w:tc>
      </w:tr>
      <w:tr w:rsidR="00CC5ED1" w:rsidRPr="00994177" w14:paraId="29F7254D" w14:textId="77777777" w:rsidTr="00335C6B">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ECD1" w14:textId="01A745B6" w:rsidR="00CC5ED1" w:rsidRPr="00676605" w:rsidRDefault="00CC5ED1" w:rsidP="00994177">
            <w:pPr>
              <w:spacing w:before="60" w:after="60" w:line="240" w:lineRule="auto"/>
              <w:ind w:left="57" w:right="57"/>
              <w:rPr>
                <w:color w:val="auto"/>
              </w:rPr>
            </w:pPr>
            <w:r>
              <w:rPr>
                <w:color w:val="auto"/>
              </w:rPr>
              <w:t>RWI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0762" w14:textId="18FB0E4C" w:rsidR="00CC5ED1" w:rsidRPr="00676605" w:rsidRDefault="00CC5ED1" w:rsidP="00994177">
            <w:pPr>
              <w:spacing w:before="60" w:after="60" w:line="240" w:lineRule="auto"/>
              <w:ind w:left="57" w:right="57"/>
              <w:rPr>
                <w:color w:val="auto"/>
                <w:szCs w:val="20"/>
              </w:rPr>
            </w:pPr>
            <w:r>
              <w:rPr>
                <w:color w:val="auto"/>
                <w:szCs w:val="20"/>
              </w:rPr>
              <w:t>Oxford/Ruth Miskin</w:t>
            </w:r>
            <w:r w:rsidR="001812CF">
              <w:rPr>
                <w:color w:val="auto"/>
                <w:szCs w:val="20"/>
              </w:rPr>
              <w:t xml:space="preserve"> Training</w:t>
            </w:r>
          </w:p>
        </w:tc>
      </w:tr>
      <w:tr w:rsidR="001812CF" w:rsidRPr="00994177" w14:paraId="6A90A0EC" w14:textId="77777777" w:rsidTr="00335C6B">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32407" w14:textId="2E8DB44D" w:rsidR="001812CF" w:rsidRDefault="001812CF" w:rsidP="00994177">
            <w:pPr>
              <w:spacing w:before="60" w:after="60" w:line="240" w:lineRule="auto"/>
              <w:ind w:left="57" w:right="57"/>
              <w:rPr>
                <w:color w:val="auto"/>
              </w:rPr>
            </w:pPr>
            <w:r>
              <w:rPr>
                <w:color w:val="auto"/>
              </w:rPr>
              <w:t>Vocabulary Ninja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FEE" w14:textId="3B4D2447" w:rsidR="001812CF" w:rsidRDefault="001812CF" w:rsidP="00994177">
            <w:pPr>
              <w:spacing w:before="60" w:after="60" w:line="240" w:lineRule="auto"/>
              <w:ind w:left="57" w:right="57"/>
              <w:rPr>
                <w:color w:val="auto"/>
                <w:szCs w:val="20"/>
              </w:rPr>
            </w:pPr>
            <w:r>
              <w:rPr>
                <w:color w:val="auto"/>
                <w:szCs w:val="20"/>
              </w:rPr>
              <w:t>Vocabulary Ninja</w:t>
            </w:r>
          </w:p>
        </w:tc>
      </w:tr>
      <w:tr w:rsidR="001812CF" w:rsidRPr="00994177" w14:paraId="2FE6BD69" w14:textId="77777777" w:rsidTr="00335C6B">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794" w14:textId="1045EF89" w:rsidR="001812CF" w:rsidRDefault="001812CF" w:rsidP="00994177">
            <w:pPr>
              <w:spacing w:before="60" w:after="60" w:line="240" w:lineRule="auto"/>
              <w:ind w:left="57" w:right="57"/>
              <w:rPr>
                <w:color w:val="auto"/>
              </w:rPr>
            </w:pPr>
            <w:r>
              <w:rPr>
                <w:color w:val="auto"/>
              </w:rPr>
              <w:t xml:space="preserve">Accelerated Reader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6FF4" w14:textId="5EEB5F39" w:rsidR="001812CF" w:rsidRDefault="001812CF" w:rsidP="00994177">
            <w:pPr>
              <w:spacing w:before="60" w:after="60" w:line="240" w:lineRule="auto"/>
              <w:ind w:left="57" w:right="57"/>
              <w:rPr>
                <w:color w:val="auto"/>
                <w:szCs w:val="20"/>
              </w:rPr>
            </w:pPr>
            <w:r>
              <w:rPr>
                <w:color w:val="auto"/>
                <w:szCs w:val="20"/>
              </w:rPr>
              <w:t>Renaissance Learning</w:t>
            </w:r>
          </w:p>
        </w:tc>
      </w:tr>
    </w:tbl>
    <w:p w14:paraId="221FBDC5" w14:textId="692ECEBB" w:rsidR="00EE6CC0" w:rsidRDefault="00EE6CC0">
      <w:pPr>
        <w:spacing w:after="0" w:line="240" w:lineRule="auto"/>
      </w:pPr>
    </w:p>
    <w:sectPr w:rsidR="00EE6CC0" w:rsidSect="00331A82">
      <w:pgSz w:w="11906" w:h="16838"/>
      <w:pgMar w:top="851" w:right="1134"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8D03" w14:textId="77777777" w:rsidR="001431D1" w:rsidRDefault="001431D1">
      <w:pPr>
        <w:spacing w:after="0" w:line="240" w:lineRule="auto"/>
      </w:pPr>
      <w:r>
        <w:separator/>
      </w:r>
    </w:p>
  </w:endnote>
  <w:endnote w:type="continuationSeparator" w:id="0">
    <w:p w14:paraId="056EAE19" w14:textId="77777777" w:rsidR="001431D1" w:rsidRDefault="001431D1">
      <w:pPr>
        <w:spacing w:after="0" w:line="240" w:lineRule="auto"/>
      </w:pPr>
      <w:r>
        <w:continuationSeparator/>
      </w:r>
    </w:p>
  </w:endnote>
  <w:endnote w:type="continuationNotice" w:id="1">
    <w:p w14:paraId="2E9AB9A8" w14:textId="77777777" w:rsidR="001431D1" w:rsidRDefault="00143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49B796CE" w:rsidR="00C03F13" w:rsidRDefault="00C03F13">
    <w:pPr>
      <w:pStyle w:val="Footer"/>
      <w:ind w:firstLine="4513"/>
    </w:pPr>
    <w:r>
      <w:fldChar w:fldCharType="begin"/>
    </w:r>
    <w:r>
      <w:instrText xml:space="preserve"> PAGE </w:instrText>
    </w:r>
    <w:r>
      <w:fldChar w:fldCharType="separate"/>
    </w:r>
    <w:r w:rsidR="00F20C15">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0687" w14:textId="77777777" w:rsidR="001431D1" w:rsidRDefault="001431D1">
      <w:pPr>
        <w:spacing w:after="0" w:line="240" w:lineRule="auto"/>
      </w:pPr>
      <w:r>
        <w:separator/>
      </w:r>
    </w:p>
  </w:footnote>
  <w:footnote w:type="continuationSeparator" w:id="0">
    <w:p w14:paraId="2F1E7E35" w14:textId="77777777" w:rsidR="001431D1" w:rsidRDefault="001431D1">
      <w:pPr>
        <w:spacing w:after="0" w:line="240" w:lineRule="auto"/>
      </w:pPr>
      <w:r>
        <w:continuationSeparator/>
      </w:r>
    </w:p>
  </w:footnote>
  <w:footnote w:type="continuationNotice" w:id="1">
    <w:p w14:paraId="0B7D99FB" w14:textId="77777777" w:rsidR="001431D1" w:rsidRDefault="001431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75BDD"/>
    <w:multiLevelType w:val="hybridMultilevel"/>
    <w:tmpl w:val="144C0A7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0F3225DC"/>
    <w:multiLevelType w:val="hybridMultilevel"/>
    <w:tmpl w:val="66CE6B6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D61828"/>
    <w:multiLevelType w:val="hybridMultilevel"/>
    <w:tmpl w:val="D2EC2576"/>
    <w:lvl w:ilvl="0" w:tplc="08090001">
      <w:start w:val="1"/>
      <w:numFmt w:val="bullet"/>
      <w:lvlText w:val=""/>
      <w:lvlJc w:val="left"/>
      <w:pPr>
        <w:ind w:left="777" w:hanging="360"/>
      </w:pPr>
      <w:rPr>
        <w:rFonts w:ascii="Symbol" w:hAnsi="Symbol" w:hint="default"/>
        <w:color w:val="auto"/>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5B85BF5"/>
    <w:multiLevelType w:val="hybridMultilevel"/>
    <w:tmpl w:val="3B1ADA2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9" w15:restartNumberingAfterBreak="0">
    <w:nsid w:val="1BB178BC"/>
    <w:multiLevelType w:val="hybridMultilevel"/>
    <w:tmpl w:val="20B8B9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1C452CFB"/>
    <w:multiLevelType w:val="hybridMultilevel"/>
    <w:tmpl w:val="B426987A"/>
    <w:lvl w:ilvl="0" w:tplc="08090005">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1F553DDB"/>
    <w:multiLevelType w:val="hybridMultilevel"/>
    <w:tmpl w:val="8818723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0EB080E"/>
    <w:multiLevelType w:val="hybridMultilevel"/>
    <w:tmpl w:val="6D38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16D4D79"/>
    <w:multiLevelType w:val="hybridMultilevel"/>
    <w:tmpl w:val="372E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3B94680C"/>
    <w:multiLevelType w:val="hybridMultilevel"/>
    <w:tmpl w:val="AB5E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42F85DDB"/>
    <w:multiLevelType w:val="hybridMultilevel"/>
    <w:tmpl w:val="A336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46825"/>
    <w:multiLevelType w:val="hybridMultilevel"/>
    <w:tmpl w:val="38265B1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9"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533155F3"/>
    <w:multiLevelType w:val="hybridMultilevel"/>
    <w:tmpl w:val="0D06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86D67"/>
    <w:multiLevelType w:val="hybridMultilevel"/>
    <w:tmpl w:val="A2B6A1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4F5B15"/>
    <w:multiLevelType w:val="hybridMultilevel"/>
    <w:tmpl w:val="71A42E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4" w15:restartNumberingAfterBreak="0">
    <w:nsid w:val="599F749B"/>
    <w:multiLevelType w:val="hybridMultilevel"/>
    <w:tmpl w:val="47B2CE0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0"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4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735A1AF0"/>
    <w:multiLevelType w:val="hybridMultilevel"/>
    <w:tmpl w:val="403A7D4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6"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7"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348608032">
    <w:abstractNumId w:val="15"/>
  </w:num>
  <w:num w:numId="2" w16cid:durableId="557009314">
    <w:abstractNumId w:val="12"/>
  </w:num>
  <w:num w:numId="3" w16cid:durableId="1649020076">
    <w:abstractNumId w:val="16"/>
  </w:num>
  <w:num w:numId="4" w16cid:durableId="773091185">
    <w:abstractNumId w:val="17"/>
  </w:num>
  <w:num w:numId="5" w16cid:durableId="691955257">
    <w:abstractNumId w:val="4"/>
  </w:num>
  <w:num w:numId="6" w16cid:durableId="2138839680">
    <w:abstractNumId w:val="26"/>
  </w:num>
  <w:num w:numId="7" w16cid:durableId="1015619987">
    <w:abstractNumId w:val="38"/>
  </w:num>
  <w:num w:numId="8" w16cid:durableId="449320148">
    <w:abstractNumId w:val="44"/>
  </w:num>
  <w:num w:numId="9" w16cid:durableId="1660616942">
    <w:abstractNumId w:val="41"/>
  </w:num>
  <w:num w:numId="10" w16cid:durableId="1305966876">
    <w:abstractNumId w:val="39"/>
  </w:num>
  <w:num w:numId="11" w16cid:durableId="1607544786">
    <w:abstractNumId w:val="14"/>
  </w:num>
  <w:num w:numId="12" w16cid:durableId="1087768592">
    <w:abstractNumId w:val="42"/>
  </w:num>
  <w:num w:numId="13" w16cid:durableId="1951693232">
    <w:abstractNumId w:val="36"/>
  </w:num>
  <w:num w:numId="14" w16cid:durableId="525868820">
    <w:abstractNumId w:val="19"/>
  </w:num>
  <w:num w:numId="15" w16cid:durableId="166791462">
    <w:abstractNumId w:val="35"/>
  </w:num>
  <w:num w:numId="16" w16cid:durableId="2040625597">
    <w:abstractNumId w:val="47"/>
  </w:num>
  <w:num w:numId="17" w16cid:durableId="785849641">
    <w:abstractNumId w:val="20"/>
  </w:num>
  <w:num w:numId="18" w16cid:durableId="2126540073">
    <w:abstractNumId w:val="23"/>
  </w:num>
  <w:num w:numId="19" w16cid:durableId="1022782978">
    <w:abstractNumId w:val="0"/>
  </w:num>
  <w:num w:numId="20" w16cid:durableId="1255361786">
    <w:abstractNumId w:val="30"/>
  </w:num>
  <w:num w:numId="21" w16cid:durableId="1915579469">
    <w:abstractNumId w:val="1"/>
  </w:num>
  <w:num w:numId="22" w16cid:durableId="678001004">
    <w:abstractNumId w:val="25"/>
  </w:num>
  <w:num w:numId="23" w16cid:durableId="686443449">
    <w:abstractNumId w:val="46"/>
  </w:num>
  <w:num w:numId="24" w16cid:durableId="13382198">
    <w:abstractNumId w:val="40"/>
  </w:num>
  <w:num w:numId="25" w16cid:durableId="105471900">
    <w:abstractNumId w:val="7"/>
  </w:num>
  <w:num w:numId="26" w16cid:durableId="1672902858">
    <w:abstractNumId w:val="21"/>
  </w:num>
  <w:num w:numId="27" w16cid:durableId="1970817937">
    <w:abstractNumId w:val="29"/>
  </w:num>
  <w:num w:numId="28" w16cid:durableId="1483891784">
    <w:abstractNumId w:val="37"/>
  </w:num>
  <w:num w:numId="29" w16cid:durableId="19937006">
    <w:abstractNumId w:val="45"/>
  </w:num>
  <w:num w:numId="30" w16cid:durableId="549263995">
    <w:abstractNumId w:val="8"/>
  </w:num>
  <w:num w:numId="31" w16cid:durableId="254677666">
    <w:abstractNumId w:val="22"/>
  </w:num>
  <w:num w:numId="32" w16cid:durableId="1943803950">
    <w:abstractNumId w:val="18"/>
  </w:num>
  <w:num w:numId="33" w16cid:durableId="1828746388">
    <w:abstractNumId w:val="24"/>
  </w:num>
  <w:num w:numId="34" w16cid:durableId="847406157">
    <w:abstractNumId w:val="13"/>
  </w:num>
  <w:num w:numId="35" w16cid:durableId="150677692">
    <w:abstractNumId w:val="31"/>
  </w:num>
  <w:num w:numId="36" w16cid:durableId="477114307">
    <w:abstractNumId w:val="33"/>
  </w:num>
  <w:num w:numId="37" w16cid:durableId="1934312904">
    <w:abstractNumId w:val="5"/>
  </w:num>
  <w:num w:numId="38" w16cid:durableId="138768224">
    <w:abstractNumId w:val="34"/>
  </w:num>
  <w:num w:numId="39" w16cid:durableId="452478178">
    <w:abstractNumId w:val="10"/>
  </w:num>
  <w:num w:numId="40" w16cid:durableId="1513255390">
    <w:abstractNumId w:val="6"/>
  </w:num>
  <w:num w:numId="41" w16cid:durableId="470051464">
    <w:abstractNumId w:val="11"/>
  </w:num>
  <w:num w:numId="42" w16cid:durableId="245454490">
    <w:abstractNumId w:val="28"/>
  </w:num>
  <w:num w:numId="43" w16cid:durableId="1629362497">
    <w:abstractNumId w:val="9"/>
  </w:num>
  <w:num w:numId="44" w16cid:durableId="699626573">
    <w:abstractNumId w:val="3"/>
  </w:num>
  <w:num w:numId="45" w16cid:durableId="545456310">
    <w:abstractNumId w:val="43"/>
  </w:num>
  <w:num w:numId="46" w16cid:durableId="1960332575">
    <w:abstractNumId w:val="2"/>
  </w:num>
  <w:num w:numId="47" w16cid:durableId="1594820404">
    <w:abstractNumId w:val="27"/>
  </w:num>
  <w:num w:numId="48" w16cid:durableId="15077878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07382"/>
    <w:rsid w:val="000100E0"/>
    <w:rsid w:val="000106A2"/>
    <w:rsid w:val="00011010"/>
    <w:rsid w:val="00011340"/>
    <w:rsid w:val="00012026"/>
    <w:rsid w:val="00012ACA"/>
    <w:rsid w:val="0001384C"/>
    <w:rsid w:val="0001407C"/>
    <w:rsid w:val="0001495C"/>
    <w:rsid w:val="00017729"/>
    <w:rsid w:val="00017EAF"/>
    <w:rsid w:val="0002071E"/>
    <w:rsid w:val="00020DC5"/>
    <w:rsid w:val="000234D8"/>
    <w:rsid w:val="0002363D"/>
    <w:rsid w:val="0002376F"/>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6398"/>
    <w:rsid w:val="00056ED0"/>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1AF"/>
    <w:rsid w:val="00077DE5"/>
    <w:rsid w:val="00081EDE"/>
    <w:rsid w:val="00081FF7"/>
    <w:rsid w:val="000820BC"/>
    <w:rsid w:val="0008250C"/>
    <w:rsid w:val="00082740"/>
    <w:rsid w:val="00083574"/>
    <w:rsid w:val="00084554"/>
    <w:rsid w:val="00084B74"/>
    <w:rsid w:val="000856FA"/>
    <w:rsid w:val="0008604D"/>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B0226"/>
    <w:rsid w:val="000B04BC"/>
    <w:rsid w:val="000B11E5"/>
    <w:rsid w:val="000B1F32"/>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21E"/>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2384"/>
    <w:rsid w:val="0011319B"/>
    <w:rsid w:val="001139C3"/>
    <w:rsid w:val="00113A28"/>
    <w:rsid w:val="00114CFB"/>
    <w:rsid w:val="00115069"/>
    <w:rsid w:val="00115EA2"/>
    <w:rsid w:val="00116DF9"/>
    <w:rsid w:val="001203D6"/>
    <w:rsid w:val="0012088B"/>
    <w:rsid w:val="001208C7"/>
    <w:rsid w:val="00120AB1"/>
    <w:rsid w:val="0012126D"/>
    <w:rsid w:val="00122569"/>
    <w:rsid w:val="001226AC"/>
    <w:rsid w:val="00122F6B"/>
    <w:rsid w:val="0012313B"/>
    <w:rsid w:val="00123907"/>
    <w:rsid w:val="00123EF2"/>
    <w:rsid w:val="0012428A"/>
    <w:rsid w:val="001248B2"/>
    <w:rsid w:val="00126958"/>
    <w:rsid w:val="00127F5F"/>
    <w:rsid w:val="00131914"/>
    <w:rsid w:val="0013324D"/>
    <w:rsid w:val="00134953"/>
    <w:rsid w:val="0013512D"/>
    <w:rsid w:val="00136D68"/>
    <w:rsid w:val="00137EEF"/>
    <w:rsid w:val="001411E6"/>
    <w:rsid w:val="00141D27"/>
    <w:rsid w:val="0014317F"/>
    <w:rsid w:val="001431D1"/>
    <w:rsid w:val="00143692"/>
    <w:rsid w:val="00144583"/>
    <w:rsid w:val="00145CB1"/>
    <w:rsid w:val="0014608F"/>
    <w:rsid w:val="00147BD1"/>
    <w:rsid w:val="001502A9"/>
    <w:rsid w:val="001521CA"/>
    <w:rsid w:val="00152206"/>
    <w:rsid w:val="00153587"/>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76D3B"/>
    <w:rsid w:val="001812CF"/>
    <w:rsid w:val="00182B1B"/>
    <w:rsid w:val="00182CE3"/>
    <w:rsid w:val="00183656"/>
    <w:rsid w:val="001854B9"/>
    <w:rsid w:val="00185EB6"/>
    <w:rsid w:val="00187D51"/>
    <w:rsid w:val="00191F30"/>
    <w:rsid w:val="001939EE"/>
    <w:rsid w:val="00194F5D"/>
    <w:rsid w:val="0019556C"/>
    <w:rsid w:val="00195AE2"/>
    <w:rsid w:val="00196F36"/>
    <w:rsid w:val="0019782E"/>
    <w:rsid w:val="00197B51"/>
    <w:rsid w:val="001A034C"/>
    <w:rsid w:val="001A12B9"/>
    <w:rsid w:val="001A25A3"/>
    <w:rsid w:val="001A2889"/>
    <w:rsid w:val="001A35D1"/>
    <w:rsid w:val="001A4D83"/>
    <w:rsid w:val="001A6031"/>
    <w:rsid w:val="001A62E6"/>
    <w:rsid w:val="001A66D8"/>
    <w:rsid w:val="001A6B3D"/>
    <w:rsid w:val="001B011E"/>
    <w:rsid w:val="001B098A"/>
    <w:rsid w:val="001B119A"/>
    <w:rsid w:val="001B1D8B"/>
    <w:rsid w:val="001B4D47"/>
    <w:rsid w:val="001B4F52"/>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C78E7"/>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EE6"/>
    <w:rsid w:val="001E4FF9"/>
    <w:rsid w:val="001E522A"/>
    <w:rsid w:val="001E562F"/>
    <w:rsid w:val="001E58D7"/>
    <w:rsid w:val="001E5F86"/>
    <w:rsid w:val="001E76B0"/>
    <w:rsid w:val="001E7ADF"/>
    <w:rsid w:val="001F1801"/>
    <w:rsid w:val="001F198D"/>
    <w:rsid w:val="001F413B"/>
    <w:rsid w:val="001F4E4E"/>
    <w:rsid w:val="001F5269"/>
    <w:rsid w:val="001F6B77"/>
    <w:rsid w:val="00200B27"/>
    <w:rsid w:val="00200EE5"/>
    <w:rsid w:val="00201D58"/>
    <w:rsid w:val="00201EE2"/>
    <w:rsid w:val="00202374"/>
    <w:rsid w:val="002031A5"/>
    <w:rsid w:val="00206549"/>
    <w:rsid w:val="00206F88"/>
    <w:rsid w:val="0020751E"/>
    <w:rsid w:val="00207738"/>
    <w:rsid w:val="002103EE"/>
    <w:rsid w:val="00210944"/>
    <w:rsid w:val="00210CC4"/>
    <w:rsid w:val="00211424"/>
    <w:rsid w:val="00211869"/>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0960"/>
    <w:rsid w:val="002310EB"/>
    <w:rsid w:val="00231624"/>
    <w:rsid w:val="00231E6D"/>
    <w:rsid w:val="0023293D"/>
    <w:rsid w:val="00232EF2"/>
    <w:rsid w:val="00234191"/>
    <w:rsid w:val="00234B3D"/>
    <w:rsid w:val="00234CD5"/>
    <w:rsid w:val="00234EF6"/>
    <w:rsid w:val="00235004"/>
    <w:rsid w:val="0023739E"/>
    <w:rsid w:val="0023765D"/>
    <w:rsid w:val="00241336"/>
    <w:rsid w:val="002417D4"/>
    <w:rsid w:val="00241C01"/>
    <w:rsid w:val="00241C7E"/>
    <w:rsid w:val="00242672"/>
    <w:rsid w:val="00244972"/>
    <w:rsid w:val="00244F52"/>
    <w:rsid w:val="00246AE7"/>
    <w:rsid w:val="002471FF"/>
    <w:rsid w:val="0025127A"/>
    <w:rsid w:val="00251546"/>
    <w:rsid w:val="0025202A"/>
    <w:rsid w:val="00253080"/>
    <w:rsid w:val="00253128"/>
    <w:rsid w:val="00253D4D"/>
    <w:rsid w:val="00253EB4"/>
    <w:rsid w:val="0025476C"/>
    <w:rsid w:val="0025547B"/>
    <w:rsid w:val="002556EB"/>
    <w:rsid w:val="002570A7"/>
    <w:rsid w:val="002605B1"/>
    <w:rsid w:val="00260FC6"/>
    <w:rsid w:val="0026121D"/>
    <w:rsid w:val="002617CC"/>
    <w:rsid w:val="002629BB"/>
    <w:rsid w:val="0026462D"/>
    <w:rsid w:val="00265714"/>
    <w:rsid w:val="00265EA0"/>
    <w:rsid w:val="00265F34"/>
    <w:rsid w:val="00267706"/>
    <w:rsid w:val="0027107A"/>
    <w:rsid w:val="00272550"/>
    <w:rsid w:val="00273E14"/>
    <w:rsid w:val="0027576C"/>
    <w:rsid w:val="00275D92"/>
    <w:rsid w:val="0027618D"/>
    <w:rsid w:val="00276F8F"/>
    <w:rsid w:val="00280615"/>
    <w:rsid w:val="00281715"/>
    <w:rsid w:val="00281B68"/>
    <w:rsid w:val="002827F4"/>
    <w:rsid w:val="00282DC2"/>
    <w:rsid w:val="0028408A"/>
    <w:rsid w:val="00284B00"/>
    <w:rsid w:val="00285201"/>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39A"/>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5D62"/>
    <w:rsid w:val="002F631F"/>
    <w:rsid w:val="002F7020"/>
    <w:rsid w:val="002F735C"/>
    <w:rsid w:val="003002BE"/>
    <w:rsid w:val="003006DC"/>
    <w:rsid w:val="003008EA"/>
    <w:rsid w:val="00301620"/>
    <w:rsid w:val="0030284F"/>
    <w:rsid w:val="0030333B"/>
    <w:rsid w:val="00304107"/>
    <w:rsid w:val="003042EC"/>
    <w:rsid w:val="00304B9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473"/>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1A82"/>
    <w:rsid w:val="00332C7E"/>
    <w:rsid w:val="00332F9B"/>
    <w:rsid w:val="00334EC2"/>
    <w:rsid w:val="00335703"/>
    <w:rsid w:val="00335C6B"/>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237"/>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5F16"/>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5BA"/>
    <w:rsid w:val="003A677F"/>
    <w:rsid w:val="003A6AF0"/>
    <w:rsid w:val="003A6D41"/>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123B"/>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5E9"/>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2AA8"/>
    <w:rsid w:val="00423924"/>
    <w:rsid w:val="00423B7A"/>
    <w:rsid w:val="00426115"/>
    <w:rsid w:val="00427465"/>
    <w:rsid w:val="00427DF1"/>
    <w:rsid w:val="0043031E"/>
    <w:rsid w:val="004308AA"/>
    <w:rsid w:val="00431F56"/>
    <w:rsid w:val="00433632"/>
    <w:rsid w:val="0043456D"/>
    <w:rsid w:val="004346A8"/>
    <w:rsid w:val="00436C85"/>
    <w:rsid w:val="004376F1"/>
    <w:rsid w:val="00440409"/>
    <w:rsid w:val="004414EB"/>
    <w:rsid w:val="0044189E"/>
    <w:rsid w:val="00443D1A"/>
    <w:rsid w:val="00444005"/>
    <w:rsid w:val="00445183"/>
    <w:rsid w:val="004453B1"/>
    <w:rsid w:val="004454BF"/>
    <w:rsid w:val="0044560E"/>
    <w:rsid w:val="00445705"/>
    <w:rsid w:val="00445ADE"/>
    <w:rsid w:val="004471C7"/>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999"/>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C27"/>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4F6C38"/>
    <w:rsid w:val="0050115E"/>
    <w:rsid w:val="0050141A"/>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9ED"/>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4DC4"/>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D98"/>
    <w:rsid w:val="005858B2"/>
    <w:rsid w:val="00585D94"/>
    <w:rsid w:val="005928FA"/>
    <w:rsid w:val="00592BBC"/>
    <w:rsid w:val="005954A8"/>
    <w:rsid w:val="00597328"/>
    <w:rsid w:val="005A0750"/>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15E"/>
    <w:rsid w:val="005B48F5"/>
    <w:rsid w:val="005B4A5A"/>
    <w:rsid w:val="005B65B3"/>
    <w:rsid w:val="005B7728"/>
    <w:rsid w:val="005B7A4F"/>
    <w:rsid w:val="005C123C"/>
    <w:rsid w:val="005C1998"/>
    <w:rsid w:val="005C1C81"/>
    <w:rsid w:val="005C226C"/>
    <w:rsid w:val="005C22B1"/>
    <w:rsid w:val="005C4923"/>
    <w:rsid w:val="005C4C5C"/>
    <w:rsid w:val="005C5549"/>
    <w:rsid w:val="005C605C"/>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648D"/>
    <w:rsid w:val="00607063"/>
    <w:rsid w:val="00607576"/>
    <w:rsid w:val="00607F50"/>
    <w:rsid w:val="00607FF2"/>
    <w:rsid w:val="006119D3"/>
    <w:rsid w:val="00614791"/>
    <w:rsid w:val="00614FA5"/>
    <w:rsid w:val="0061544D"/>
    <w:rsid w:val="006157DC"/>
    <w:rsid w:val="006168B1"/>
    <w:rsid w:val="00617354"/>
    <w:rsid w:val="006174CE"/>
    <w:rsid w:val="0061785E"/>
    <w:rsid w:val="00617C50"/>
    <w:rsid w:val="006209AB"/>
    <w:rsid w:val="00620D18"/>
    <w:rsid w:val="00620FBB"/>
    <w:rsid w:val="00622D26"/>
    <w:rsid w:val="00623BC3"/>
    <w:rsid w:val="00624851"/>
    <w:rsid w:val="006257A8"/>
    <w:rsid w:val="00626F8D"/>
    <w:rsid w:val="00627225"/>
    <w:rsid w:val="00627FBB"/>
    <w:rsid w:val="006301EC"/>
    <w:rsid w:val="00632BA6"/>
    <w:rsid w:val="00632F2C"/>
    <w:rsid w:val="00632F54"/>
    <w:rsid w:val="00633B1B"/>
    <w:rsid w:val="00634A10"/>
    <w:rsid w:val="00635684"/>
    <w:rsid w:val="006369C2"/>
    <w:rsid w:val="00637307"/>
    <w:rsid w:val="006415BA"/>
    <w:rsid w:val="006417B6"/>
    <w:rsid w:val="00641D56"/>
    <w:rsid w:val="00642BFC"/>
    <w:rsid w:val="00645A3A"/>
    <w:rsid w:val="006461F5"/>
    <w:rsid w:val="0065248B"/>
    <w:rsid w:val="006534FE"/>
    <w:rsid w:val="00653500"/>
    <w:rsid w:val="0065367D"/>
    <w:rsid w:val="0065494B"/>
    <w:rsid w:val="006549E7"/>
    <w:rsid w:val="006555EE"/>
    <w:rsid w:val="00655D57"/>
    <w:rsid w:val="00656BEC"/>
    <w:rsid w:val="006576D1"/>
    <w:rsid w:val="006576E2"/>
    <w:rsid w:val="00660FD3"/>
    <w:rsid w:val="006615AC"/>
    <w:rsid w:val="0066258F"/>
    <w:rsid w:val="00662841"/>
    <w:rsid w:val="00663629"/>
    <w:rsid w:val="0066392C"/>
    <w:rsid w:val="006640E7"/>
    <w:rsid w:val="00664323"/>
    <w:rsid w:val="006649AC"/>
    <w:rsid w:val="006660D2"/>
    <w:rsid w:val="006700ED"/>
    <w:rsid w:val="00671F69"/>
    <w:rsid w:val="00672B1A"/>
    <w:rsid w:val="00672CB1"/>
    <w:rsid w:val="00672E4D"/>
    <w:rsid w:val="00673AA4"/>
    <w:rsid w:val="00673E11"/>
    <w:rsid w:val="00674ACE"/>
    <w:rsid w:val="00674B81"/>
    <w:rsid w:val="00675307"/>
    <w:rsid w:val="006754A7"/>
    <w:rsid w:val="00675708"/>
    <w:rsid w:val="00676493"/>
    <w:rsid w:val="00676605"/>
    <w:rsid w:val="00676C59"/>
    <w:rsid w:val="006802BE"/>
    <w:rsid w:val="00680657"/>
    <w:rsid w:val="0068172B"/>
    <w:rsid w:val="00683C27"/>
    <w:rsid w:val="00683D9C"/>
    <w:rsid w:val="00685163"/>
    <w:rsid w:val="00685237"/>
    <w:rsid w:val="00687677"/>
    <w:rsid w:val="00691724"/>
    <w:rsid w:val="0069259B"/>
    <w:rsid w:val="0069408F"/>
    <w:rsid w:val="00697B54"/>
    <w:rsid w:val="00697EA1"/>
    <w:rsid w:val="006A2B4E"/>
    <w:rsid w:val="006A3795"/>
    <w:rsid w:val="006A40DA"/>
    <w:rsid w:val="006A4E28"/>
    <w:rsid w:val="006A4FAA"/>
    <w:rsid w:val="006A5167"/>
    <w:rsid w:val="006A6603"/>
    <w:rsid w:val="006A6C65"/>
    <w:rsid w:val="006A7EBF"/>
    <w:rsid w:val="006B477F"/>
    <w:rsid w:val="006B4887"/>
    <w:rsid w:val="006B4A30"/>
    <w:rsid w:val="006B4E07"/>
    <w:rsid w:val="006B51A4"/>
    <w:rsid w:val="006B55F8"/>
    <w:rsid w:val="006B5875"/>
    <w:rsid w:val="006B6F12"/>
    <w:rsid w:val="006B6F8E"/>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C6B1A"/>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329"/>
    <w:rsid w:val="006E5A88"/>
    <w:rsid w:val="006E67B2"/>
    <w:rsid w:val="006E73A6"/>
    <w:rsid w:val="006E7FB1"/>
    <w:rsid w:val="006F1A83"/>
    <w:rsid w:val="006F2325"/>
    <w:rsid w:val="006F27EE"/>
    <w:rsid w:val="006F30AF"/>
    <w:rsid w:val="006F32CA"/>
    <w:rsid w:val="006F564F"/>
    <w:rsid w:val="006F57F6"/>
    <w:rsid w:val="006F5A7A"/>
    <w:rsid w:val="006F6BFA"/>
    <w:rsid w:val="006F6C94"/>
    <w:rsid w:val="00702BF1"/>
    <w:rsid w:val="00702EE8"/>
    <w:rsid w:val="007031B8"/>
    <w:rsid w:val="00703C3F"/>
    <w:rsid w:val="00704433"/>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8F"/>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2F7"/>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157F"/>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D7E01"/>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265"/>
    <w:rsid w:val="007F4638"/>
    <w:rsid w:val="007F466B"/>
    <w:rsid w:val="007F46EB"/>
    <w:rsid w:val="007F4DEB"/>
    <w:rsid w:val="007F5481"/>
    <w:rsid w:val="007F66CC"/>
    <w:rsid w:val="007F68D2"/>
    <w:rsid w:val="007F7A5B"/>
    <w:rsid w:val="00800505"/>
    <w:rsid w:val="008013DC"/>
    <w:rsid w:val="0080235A"/>
    <w:rsid w:val="00802873"/>
    <w:rsid w:val="00803189"/>
    <w:rsid w:val="00803696"/>
    <w:rsid w:val="0080373C"/>
    <w:rsid w:val="00804168"/>
    <w:rsid w:val="00804535"/>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25D32"/>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0F99"/>
    <w:rsid w:val="0084199C"/>
    <w:rsid w:val="00844876"/>
    <w:rsid w:val="008452FA"/>
    <w:rsid w:val="00845A00"/>
    <w:rsid w:val="00846196"/>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387"/>
    <w:rsid w:val="00882F7F"/>
    <w:rsid w:val="008839C1"/>
    <w:rsid w:val="00883CD9"/>
    <w:rsid w:val="00883D2A"/>
    <w:rsid w:val="00884C97"/>
    <w:rsid w:val="008851E7"/>
    <w:rsid w:val="0088545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174"/>
    <w:rsid w:val="00897E55"/>
    <w:rsid w:val="008A1001"/>
    <w:rsid w:val="008A1C1B"/>
    <w:rsid w:val="008A32B1"/>
    <w:rsid w:val="008A336B"/>
    <w:rsid w:val="008A34CC"/>
    <w:rsid w:val="008A39F3"/>
    <w:rsid w:val="008A3A50"/>
    <w:rsid w:val="008A4B93"/>
    <w:rsid w:val="008A5E92"/>
    <w:rsid w:val="008A6056"/>
    <w:rsid w:val="008A649E"/>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1D46"/>
    <w:rsid w:val="008E4056"/>
    <w:rsid w:val="008E5584"/>
    <w:rsid w:val="008E6507"/>
    <w:rsid w:val="008E73FB"/>
    <w:rsid w:val="008E7CEB"/>
    <w:rsid w:val="008F0E7F"/>
    <w:rsid w:val="008F3430"/>
    <w:rsid w:val="008F5304"/>
    <w:rsid w:val="008F5B35"/>
    <w:rsid w:val="008F64CA"/>
    <w:rsid w:val="008F672B"/>
    <w:rsid w:val="008F79C7"/>
    <w:rsid w:val="009000B1"/>
    <w:rsid w:val="0090065A"/>
    <w:rsid w:val="00902879"/>
    <w:rsid w:val="009036FD"/>
    <w:rsid w:val="0090374D"/>
    <w:rsid w:val="00903E41"/>
    <w:rsid w:val="0090459D"/>
    <w:rsid w:val="00904E15"/>
    <w:rsid w:val="00904E68"/>
    <w:rsid w:val="00904EA4"/>
    <w:rsid w:val="009053DE"/>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5EE"/>
    <w:rsid w:val="0095278D"/>
    <w:rsid w:val="009533EF"/>
    <w:rsid w:val="0095361F"/>
    <w:rsid w:val="00953F75"/>
    <w:rsid w:val="00956259"/>
    <w:rsid w:val="0095633E"/>
    <w:rsid w:val="00957196"/>
    <w:rsid w:val="00957DC5"/>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6DC9"/>
    <w:rsid w:val="00980A60"/>
    <w:rsid w:val="00981485"/>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177"/>
    <w:rsid w:val="009946FD"/>
    <w:rsid w:val="00994CED"/>
    <w:rsid w:val="0099682A"/>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58F"/>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4EBA"/>
    <w:rsid w:val="009F5340"/>
    <w:rsid w:val="009F574C"/>
    <w:rsid w:val="009F6F0C"/>
    <w:rsid w:val="00A003BF"/>
    <w:rsid w:val="00A00A58"/>
    <w:rsid w:val="00A00D76"/>
    <w:rsid w:val="00A03B17"/>
    <w:rsid w:val="00A04DBA"/>
    <w:rsid w:val="00A0530E"/>
    <w:rsid w:val="00A059CD"/>
    <w:rsid w:val="00A05B89"/>
    <w:rsid w:val="00A066FC"/>
    <w:rsid w:val="00A06B18"/>
    <w:rsid w:val="00A10993"/>
    <w:rsid w:val="00A11E77"/>
    <w:rsid w:val="00A13717"/>
    <w:rsid w:val="00A13833"/>
    <w:rsid w:val="00A1597B"/>
    <w:rsid w:val="00A172FB"/>
    <w:rsid w:val="00A1758A"/>
    <w:rsid w:val="00A1768B"/>
    <w:rsid w:val="00A17B14"/>
    <w:rsid w:val="00A17C99"/>
    <w:rsid w:val="00A20195"/>
    <w:rsid w:val="00A22889"/>
    <w:rsid w:val="00A23AA7"/>
    <w:rsid w:val="00A23E47"/>
    <w:rsid w:val="00A24459"/>
    <w:rsid w:val="00A26D24"/>
    <w:rsid w:val="00A26FDF"/>
    <w:rsid w:val="00A27511"/>
    <w:rsid w:val="00A27AB2"/>
    <w:rsid w:val="00A27C75"/>
    <w:rsid w:val="00A31575"/>
    <w:rsid w:val="00A31660"/>
    <w:rsid w:val="00A31956"/>
    <w:rsid w:val="00A3385B"/>
    <w:rsid w:val="00A34557"/>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3675"/>
    <w:rsid w:val="00A54020"/>
    <w:rsid w:val="00A54270"/>
    <w:rsid w:val="00A5518F"/>
    <w:rsid w:val="00A552DA"/>
    <w:rsid w:val="00A564D2"/>
    <w:rsid w:val="00A5683B"/>
    <w:rsid w:val="00A57F58"/>
    <w:rsid w:val="00A60927"/>
    <w:rsid w:val="00A61BDC"/>
    <w:rsid w:val="00A62666"/>
    <w:rsid w:val="00A63E25"/>
    <w:rsid w:val="00A641E7"/>
    <w:rsid w:val="00A6450E"/>
    <w:rsid w:val="00A64F8D"/>
    <w:rsid w:val="00A665A5"/>
    <w:rsid w:val="00A66955"/>
    <w:rsid w:val="00A67408"/>
    <w:rsid w:val="00A6747F"/>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0"/>
    <w:rsid w:val="00AB2AC3"/>
    <w:rsid w:val="00AB2BC9"/>
    <w:rsid w:val="00AB2D1F"/>
    <w:rsid w:val="00AB3277"/>
    <w:rsid w:val="00AB34E5"/>
    <w:rsid w:val="00AB3693"/>
    <w:rsid w:val="00AB424A"/>
    <w:rsid w:val="00AB461F"/>
    <w:rsid w:val="00AB4CE6"/>
    <w:rsid w:val="00AB4DFD"/>
    <w:rsid w:val="00AB5242"/>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49C4"/>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465"/>
    <w:rsid w:val="00AF68C5"/>
    <w:rsid w:val="00AF7077"/>
    <w:rsid w:val="00AF7707"/>
    <w:rsid w:val="00B004A2"/>
    <w:rsid w:val="00B00F5C"/>
    <w:rsid w:val="00B02027"/>
    <w:rsid w:val="00B02123"/>
    <w:rsid w:val="00B02125"/>
    <w:rsid w:val="00B02A20"/>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1AFA"/>
    <w:rsid w:val="00B4644C"/>
    <w:rsid w:val="00B46453"/>
    <w:rsid w:val="00B46A3F"/>
    <w:rsid w:val="00B46C13"/>
    <w:rsid w:val="00B47A41"/>
    <w:rsid w:val="00B47E8E"/>
    <w:rsid w:val="00B50646"/>
    <w:rsid w:val="00B5090B"/>
    <w:rsid w:val="00B51E96"/>
    <w:rsid w:val="00B52263"/>
    <w:rsid w:val="00B523DD"/>
    <w:rsid w:val="00B523E8"/>
    <w:rsid w:val="00B5244E"/>
    <w:rsid w:val="00B5268C"/>
    <w:rsid w:val="00B536DC"/>
    <w:rsid w:val="00B53E4B"/>
    <w:rsid w:val="00B547F8"/>
    <w:rsid w:val="00B54BCB"/>
    <w:rsid w:val="00B54EAC"/>
    <w:rsid w:val="00B607D0"/>
    <w:rsid w:val="00B60A31"/>
    <w:rsid w:val="00B60CAE"/>
    <w:rsid w:val="00B613B6"/>
    <w:rsid w:val="00B62757"/>
    <w:rsid w:val="00B6442F"/>
    <w:rsid w:val="00B65C5B"/>
    <w:rsid w:val="00B66354"/>
    <w:rsid w:val="00B66710"/>
    <w:rsid w:val="00B66E48"/>
    <w:rsid w:val="00B67289"/>
    <w:rsid w:val="00B70253"/>
    <w:rsid w:val="00B70908"/>
    <w:rsid w:val="00B71786"/>
    <w:rsid w:val="00B717A3"/>
    <w:rsid w:val="00B71EC5"/>
    <w:rsid w:val="00B73191"/>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3E0"/>
    <w:rsid w:val="00BB56CA"/>
    <w:rsid w:val="00BB5A4F"/>
    <w:rsid w:val="00BB66FD"/>
    <w:rsid w:val="00BB6D98"/>
    <w:rsid w:val="00BB7010"/>
    <w:rsid w:val="00BB7043"/>
    <w:rsid w:val="00BB721A"/>
    <w:rsid w:val="00BC0475"/>
    <w:rsid w:val="00BC0CCD"/>
    <w:rsid w:val="00BC11E8"/>
    <w:rsid w:val="00BC149E"/>
    <w:rsid w:val="00BC2306"/>
    <w:rsid w:val="00BC3366"/>
    <w:rsid w:val="00BC34B9"/>
    <w:rsid w:val="00BC3C85"/>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5E67"/>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5A8"/>
    <w:rsid w:val="00C009DA"/>
    <w:rsid w:val="00C00CAE"/>
    <w:rsid w:val="00C01668"/>
    <w:rsid w:val="00C018CE"/>
    <w:rsid w:val="00C01D35"/>
    <w:rsid w:val="00C02423"/>
    <w:rsid w:val="00C02D90"/>
    <w:rsid w:val="00C030D0"/>
    <w:rsid w:val="00C03F13"/>
    <w:rsid w:val="00C05A88"/>
    <w:rsid w:val="00C05E25"/>
    <w:rsid w:val="00C06739"/>
    <w:rsid w:val="00C069C8"/>
    <w:rsid w:val="00C075CD"/>
    <w:rsid w:val="00C076F0"/>
    <w:rsid w:val="00C07B8C"/>
    <w:rsid w:val="00C07BDA"/>
    <w:rsid w:val="00C07F5E"/>
    <w:rsid w:val="00C1071C"/>
    <w:rsid w:val="00C117C9"/>
    <w:rsid w:val="00C121B5"/>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57D2B"/>
    <w:rsid w:val="00C60175"/>
    <w:rsid w:val="00C61060"/>
    <w:rsid w:val="00C61425"/>
    <w:rsid w:val="00C617F9"/>
    <w:rsid w:val="00C62EDD"/>
    <w:rsid w:val="00C636ED"/>
    <w:rsid w:val="00C6387E"/>
    <w:rsid w:val="00C639F4"/>
    <w:rsid w:val="00C64D48"/>
    <w:rsid w:val="00C65821"/>
    <w:rsid w:val="00C66D73"/>
    <w:rsid w:val="00C70525"/>
    <w:rsid w:val="00C705B0"/>
    <w:rsid w:val="00C70B16"/>
    <w:rsid w:val="00C71727"/>
    <w:rsid w:val="00C71843"/>
    <w:rsid w:val="00C7219B"/>
    <w:rsid w:val="00C742F9"/>
    <w:rsid w:val="00C751F6"/>
    <w:rsid w:val="00C757E5"/>
    <w:rsid w:val="00C76ECD"/>
    <w:rsid w:val="00C772FC"/>
    <w:rsid w:val="00C776A0"/>
    <w:rsid w:val="00C77D18"/>
    <w:rsid w:val="00C8036D"/>
    <w:rsid w:val="00C8074B"/>
    <w:rsid w:val="00C8130F"/>
    <w:rsid w:val="00C81D8A"/>
    <w:rsid w:val="00C8205A"/>
    <w:rsid w:val="00C829A3"/>
    <w:rsid w:val="00C83363"/>
    <w:rsid w:val="00C835BB"/>
    <w:rsid w:val="00C847B4"/>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55E"/>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3D67"/>
    <w:rsid w:val="00CC5A4E"/>
    <w:rsid w:val="00CC5ED1"/>
    <w:rsid w:val="00CC7A3C"/>
    <w:rsid w:val="00CD1D58"/>
    <w:rsid w:val="00CD45EA"/>
    <w:rsid w:val="00CD4923"/>
    <w:rsid w:val="00CD6BE9"/>
    <w:rsid w:val="00CD6E38"/>
    <w:rsid w:val="00CE1F32"/>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467"/>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0A"/>
    <w:rsid w:val="00D51A3D"/>
    <w:rsid w:val="00D52C18"/>
    <w:rsid w:val="00D5334D"/>
    <w:rsid w:val="00D5684B"/>
    <w:rsid w:val="00D5693B"/>
    <w:rsid w:val="00D570CE"/>
    <w:rsid w:val="00D572FA"/>
    <w:rsid w:val="00D57604"/>
    <w:rsid w:val="00D60872"/>
    <w:rsid w:val="00D60ADD"/>
    <w:rsid w:val="00D637A7"/>
    <w:rsid w:val="00D63A88"/>
    <w:rsid w:val="00D64482"/>
    <w:rsid w:val="00D648CD"/>
    <w:rsid w:val="00D65DC1"/>
    <w:rsid w:val="00D71892"/>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5B1"/>
    <w:rsid w:val="00D84B2C"/>
    <w:rsid w:val="00D8620A"/>
    <w:rsid w:val="00D86798"/>
    <w:rsid w:val="00D86CDA"/>
    <w:rsid w:val="00D87B88"/>
    <w:rsid w:val="00D900C5"/>
    <w:rsid w:val="00D90D17"/>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8A0"/>
    <w:rsid w:val="00DB5303"/>
    <w:rsid w:val="00DB63BB"/>
    <w:rsid w:val="00DB6411"/>
    <w:rsid w:val="00DB6492"/>
    <w:rsid w:val="00DB74FD"/>
    <w:rsid w:val="00DB7ED4"/>
    <w:rsid w:val="00DC12D4"/>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30D"/>
    <w:rsid w:val="00E039E4"/>
    <w:rsid w:val="00E03B86"/>
    <w:rsid w:val="00E03F56"/>
    <w:rsid w:val="00E05041"/>
    <w:rsid w:val="00E06B00"/>
    <w:rsid w:val="00E11782"/>
    <w:rsid w:val="00E118EE"/>
    <w:rsid w:val="00E12837"/>
    <w:rsid w:val="00E1320F"/>
    <w:rsid w:val="00E13216"/>
    <w:rsid w:val="00E133CD"/>
    <w:rsid w:val="00E138DD"/>
    <w:rsid w:val="00E14341"/>
    <w:rsid w:val="00E1485C"/>
    <w:rsid w:val="00E162D1"/>
    <w:rsid w:val="00E162DC"/>
    <w:rsid w:val="00E16C27"/>
    <w:rsid w:val="00E1796E"/>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0915"/>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6D4D"/>
    <w:rsid w:val="00E576B4"/>
    <w:rsid w:val="00E60166"/>
    <w:rsid w:val="00E616A9"/>
    <w:rsid w:val="00E620E7"/>
    <w:rsid w:val="00E626CD"/>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E5A"/>
    <w:rsid w:val="00E80F54"/>
    <w:rsid w:val="00E814D6"/>
    <w:rsid w:val="00E848AA"/>
    <w:rsid w:val="00E85077"/>
    <w:rsid w:val="00E855F1"/>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A6C9B"/>
    <w:rsid w:val="00EB15E2"/>
    <w:rsid w:val="00EB2483"/>
    <w:rsid w:val="00EB3B53"/>
    <w:rsid w:val="00EB3C42"/>
    <w:rsid w:val="00EB3EFE"/>
    <w:rsid w:val="00EB4FFE"/>
    <w:rsid w:val="00EB50D2"/>
    <w:rsid w:val="00EB5120"/>
    <w:rsid w:val="00EB6413"/>
    <w:rsid w:val="00EB64E4"/>
    <w:rsid w:val="00EB6DF7"/>
    <w:rsid w:val="00EC01D3"/>
    <w:rsid w:val="00EC01DE"/>
    <w:rsid w:val="00EC0843"/>
    <w:rsid w:val="00EC098F"/>
    <w:rsid w:val="00EC1148"/>
    <w:rsid w:val="00EC1431"/>
    <w:rsid w:val="00EC19BD"/>
    <w:rsid w:val="00EC1B3A"/>
    <w:rsid w:val="00EC1F8C"/>
    <w:rsid w:val="00EC1FE7"/>
    <w:rsid w:val="00EC22AB"/>
    <w:rsid w:val="00EC2583"/>
    <w:rsid w:val="00EC312C"/>
    <w:rsid w:val="00EC352C"/>
    <w:rsid w:val="00EC363E"/>
    <w:rsid w:val="00EC439E"/>
    <w:rsid w:val="00EC56FC"/>
    <w:rsid w:val="00EC62C5"/>
    <w:rsid w:val="00EC6E5E"/>
    <w:rsid w:val="00EC7B6F"/>
    <w:rsid w:val="00EC7D36"/>
    <w:rsid w:val="00ED0243"/>
    <w:rsid w:val="00ED0F2B"/>
    <w:rsid w:val="00ED13A5"/>
    <w:rsid w:val="00ED20CC"/>
    <w:rsid w:val="00ED3C74"/>
    <w:rsid w:val="00ED4AD3"/>
    <w:rsid w:val="00ED5CBD"/>
    <w:rsid w:val="00ED684D"/>
    <w:rsid w:val="00ED7037"/>
    <w:rsid w:val="00ED7066"/>
    <w:rsid w:val="00EE00D9"/>
    <w:rsid w:val="00EE229A"/>
    <w:rsid w:val="00EE2B83"/>
    <w:rsid w:val="00EE36B4"/>
    <w:rsid w:val="00EE4909"/>
    <w:rsid w:val="00EE4B90"/>
    <w:rsid w:val="00EE4DB9"/>
    <w:rsid w:val="00EE581E"/>
    <w:rsid w:val="00EE63BD"/>
    <w:rsid w:val="00EE6CC0"/>
    <w:rsid w:val="00EE7D66"/>
    <w:rsid w:val="00EF0D2C"/>
    <w:rsid w:val="00EF0E51"/>
    <w:rsid w:val="00EF11BF"/>
    <w:rsid w:val="00EF248F"/>
    <w:rsid w:val="00EF4BC4"/>
    <w:rsid w:val="00EF5CF8"/>
    <w:rsid w:val="00EF7B1E"/>
    <w:rsid w:val="00EF7F5E"/>
    <w:rsid w:val="00F02794"/>
    <w:rsid w:val="00F0399C"/>
    <w:rsid w:val="00F041EF"/>
    <w:rsid w:val="00F04D4D"/>
    <w:rsid w:val="00F04E17"/>
    <w:rsid w:val="00F05284"/>
    <w:rsid w:val="00F05E78"/>
    <w:rsid w:val="00F06044"/>
    <w:rsid w:val="00F064CF"/>
    <w:rsid w:val="00F067A3"/>
    <w:rsid w:val="00F11852"/>
    <w:rsid w:val="00F11B80"/>
    <w:rsid w:val="00F11FAE"/>
    <w:rsid w:val="00F12836"/>
    <w:rsid w:val="00F12E85"/>
    <w:rsid w:val="00F12F05"/>
    <w:rsid w:val="00F15553"/>
    <w:rsid w:val="00F15781"/>
    <w:rsid w:val="00F16704"/>
    <w:rsid w:val="00F20C15"/>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0FE"/>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49DA"/>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CE6"/>
    <w:rsid w:val="00F93D54"/>
    <w:rsid w:val="00F9434B"/>
    <w:rsid w:val="00F954EC"/>
    <w:rsid w:val="00FA1C26"/>
    <w:rsid w:val="00FA579A"/>
    <w:rsid w:val="00FA5BE8"/>
    <w:rsid w:val="00FA5C13"/>
    <w:rsid w:val="00FA5C70"/>
    <w:rsid w:val="00FA717D"/>
    <w:rsid w:val="00FA7364"/>
    <w:rsid w:val="00FB2247"/>
    <w:rsid w:val="00FB3145"/>
    <w:rsid w:val="00FB3D52"/>
    <w:rsid w:val="00FB44FF"/>
    <w:rsid w:val="00FB4E3A"/>
    <w:rsid w:val="00FB517D"/>
    <w:rsid w:val="00FB5EA9"/>
    <w:rsid w:val="00FB6812"/>
    <w:rsid w:val="00FB6ED1"/>
    <w:rsid w:val="00FB724C"/>
    <w:rsid w:val="00FC0184"/>
    <w:rsid w:val="00FC03D9"/>
    <w:rsid w:val="00FC1DD3"/>
    <w:rsid w:val="00FC203E"/>
    <w:rsid w:val="00FC2443"/>
    <w:rsid w:val="00FC25A0"/>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FA"/>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character" w:styleId="PlaceholderText">
    <w:name w:val="Placeholder Text"/>
    <w:rsid w:val="00D845B1"/>
    <w:rPr>
      <w:color w:val="808080"/>
    </w:rPr>
  </w:style>
  <w:style w:type="paragraph" w:customStyle="1" w:styleId="Default">
    <w:name w:val="Default"/>
    <w:rsid w:val="00D845B1"/>
    <w:pPr>
      <w:autoSpaceDE w:val="0"/>
      <w:adjustRightInd w:val="0"/>
    </w:pPr>
    <w:rPr>
      <w:rFonts w:ascii="Comic Sans MS" w:hAnsi="Comic Sans MS" w:cs="Comic Sans MS"/>
      <w:color w:val="000000"/>
      <w:sz w:val="24"/>
      <w:szCs w:val="24"/>
    </w:rPr>
  </w:style>
  <w:style w:type="paragraph" w:styleId="NormalWeb">
    <w:name w:val="Normal (Web)"/>
    <w:basedOn w:val="Normal"/>
    <w:uiPriority w:val="99"/>
    <w:unhideWhenUsed/>
    <w:rsid w:val="00F649DA"/>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D57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13813778">
      <w:bodyDiv w:val="1"/>
      <w:marLeft w:val="0"/>
      <w:marRight w:val="0"/>
      <w:marTop w:val="0"/>
      <w:marBottom w:val="0"/>
      <w:divBdr>
        <w:top w:val="none" w:sz="0" w:space="0" w:color="auto"/>
        <w:left w:val="none" w:sz="0" w:space="0" w:color="auto"/>
        <w:bottom w:val="none" w:sz="0" w:space="0" w:color="auto"/>
        <w:right w:val="none" w:sz="0" w:space="0" w:color="auto"/>
      </w:divBdr>
      <w:divsChild>
        <w:div w:id="986738374">
          <w:marLeft w:val="0"/>
          <w:marRight w:val="0"/>
          <w:marTop w:val="0"/>
          <w:marBottom w:val="0"/>
          <w:divBdr>
            <w:top w:val="none" w:sz="0" w:space="0" w:color="auto"/>
            <w:left w:val="none" w:sz="0" w:space="0" w:color="auto"/>
            <w:bottom w:val="none" w:sz="0" w:space="0" w:color="auto"/>
            <w:right w:val="none" w:sz="0" w:space="0" w:color="auto"/>
          </w:divBdr>
          <w:divsChild>
            <w:div w:id="1130517952">
              <w:marLeft w:val="0"/>
              <w:marRight w:val="0"/>
              <w:marTop w:val="0"/>
              <w:marBottom w:val="0"/>
              <w:divBdr>
                <w:top w:val="none" w:sz="0" w:space="0" w:color="auto"/>
                <w:left w:val="none" w:sz="0" w:space="0" w:color="auto"/>
                <w:bottom w:val="none" w:sz="0" w:space="0" w:color="auto"/>
                <w:right w:val="none" w:sz="0" w:space="0" w:color="auto"/>
              </w:divBdr>
              <w:divsChild>
                <w:div w:id="407310762">
                  <w:marLeft w:val="0"/>
                  <w:marRight w:val="0"/>
                  <w:marTop w:val="0"/>
                  <w:marBottom w:val="0"/>
                  <w:divBdr>
                    <w:top w:val="none" w:sz="0" w:space="0" w:color="auto"/>
                    <w:left w:val="none" w:sz="0" w:space="0" w:color="auto"/>
                    <w:bottom w:val="none" w:sz="0" w:space="0" w:color="auto"/>
                    <w:right w:val="none" w:sz="0" w:space="0" w:color="auto"/>
                  </w:divBdr>
                  <w:divsChild>
                    <w:div w:id="451440415">
                      <w:marLeft w:val="0"/>
                      <w:marRight w:val="0"/>
                      <w:marTop w:val="0"/>
                      <w:marBottom w:val="0"/>
                      <w:divBdr>
                        <w:top w:val="none" w:sz="0" w:space="0" w:color="auto"/>
                        <w:left w:val="none" w:sz="0" w:space="0" w:color="auto"/>
                        <w:bottom w:val="none" w:sz="0" w:space="0" w:color="auto"/>
                        <w:right w:val="none" w:sz="0" w:space="0" w:color="auto"/>
                      </w:divBdr>
                      <w:divsChild>
                        <w:div w:id="795756042">
                          <w:marLeft w:val="0"/>
                          <w:marRight w:val="0"/>
                          <w:marTop w:val="0"/>
                          <w:marBottom w:val="0"/>
                          <w:divBdr>
                            <w:top w:val="none" w:sz="0" w:space="0" w:color="auto"/>
                            <w:left w:val="none" w:sz="0" w:space="0" w:color="auto"/>
                            <w:bottom w:val="none" w:sz="0" w:space="0" w:color="auto"/>
                            <w:right w:val="none" w:sz="0" w:space="0" w:color="auto"/>
                          </w:divBdr>
                          <w:divsChild>
                            <w:div w:id="3703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9620">
      <w:bodyDiv w:val="1"/>
      <w:marLeft w:val="0"/>
      <w:marRight w:val="0"/>
      <w:marTop w:val="0"/>
      <w:marBottom w:val="0"/>
      <w:divBdr>
        <w:top w:val="none" w:sz="0" w:space="0" w:color="auto"/>
        <w:left w:val="none" w:sz="0" w:space="0" w:color="auto"/>
        <w:bottom w:val="none" w:sz="0" w:space="0" w:color="auto"/>
        <w:right w:val="none" w:sz="0" w:space="0" w:color="auto"/>
      </w:divBdr>
      <w:divsChild>
        <w:div w:id="859666776">
          <w:marLeft w:val="0"/>
          <w:marRight w:val="0"/>
          <w:marTop w:val="0"/>
          <w:marBottom w:val="0"/>
          <w:divBdr>
            <w:top w:val="none" w:sz="0" w:space="0" w:color="auto"/>
            <w:left w:val="none" w:sz="0" w:space="0" w:color="auto"/>
            <w:bottom w:val="none" w:sz="0" w:space="0" w:color="auto"/>
            <w:right w:val="none" w:sz="0" w:space="0" w:color="auto"/>
          </w:divBdr>
          <w:divsChild>
            <w:div w:id="667485836">
              <w:marLeft w:val="0"/>
              <w:marRight w:val="0"/>
              <w:marTop w:val="0"/>
              <w:marBottom w:val="0"/>
              <w:divBdr>
                <w:top w:val="none" w:sz="0" w:space="0" w:color="auto"/>
                <w:left w:val="none" w:sz="0" w:space="0" w:color="auto"/>
                <w:bottom w:val="none" w:sz="0" w:space="0" w:color="auto"/>
                <w:right w:val="none" w:sz="0" w:space="0" w:color="auto"/>
              </w:divBdr>
              <w:divsChild>
                <w:div w:id="520896310">
                  <w:marLeft w:val="0"/>
                  <w:marRight w:val="0"/>
                  <w:marTop w:val="0"/>
                  <w:marBottom w:val="0"/>
                  <w:divBdr>
                    <w:top w:val="none" w:sz="0" w:space="0" w:color="auto"/>
                    <w:left w:val="none" w:sz="0" w:space="0" w:color="auto"/>
                    <w:bottom w:val="none" w:sz="0" w:space="0" w:color="auto"/>
                    <w:right w:val="none" w:sz="0" w:space="0" w:color="auto"/>
                  </w:divBdr>
                  <w:divsChild>
                    <w:div w:id="683364111">
                      <w:marLeft w:val="0"/>
                      <w:marRight w:val="0"/>
                      <w:marTop w:val="0"/>
                      <w:marBottom w:val="0"/>
                      <w:divBdr>
                        <w:top w:val="none" w:sz="0" w:space="0" w:color="auto"/>
                        <w:left w:val="none" w:sz="0" w:space="0" w:color="auto"/>
                        <w:bottom w:val="none" w:sz="0" w:space="0" w:color="auto"/>
                        <w:right w:val="none" w:sz="0" w:space="0" w:color="auto"/>
                      </w:divBdr>
                      <w:divsChild>
                        <w:div w:id="392704585">
                          <w:marLeft w:val="0"/>
                          <w:marRight w:val="0"/>
                          <w:marTop w:val="0"/>
                          <w:marBottom w:val="0"/>
                          <w:divBdr>
                            <w:top w:val="none" w:sz="0" w:space="0" w:color="auto"/>
                            <w:left w:val="none" w:sz="0" w:space="0" w:color="auto"/>
                            <w:bottom w:val="none" w:sz="0" w:space="0" w:color="auto"/>
                            <w:right w:val="none" w:sz="0" w:space="0" w:color="auto"/>
                          </w:divBdr>
                          <w:divsChild>
                            <w:div w:id="1048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7004">
                      <w:marLeft w:val="0"/>
                      <w:marRight w:val="0"/>
                      <w:marTop w:val="0"/>
                      <w:marBottom w:val="0"/>
                      <w:divBdr>
                        <w:top w:val="none" w:sz="0" w:space="0" w:color="auto"/>
                        <w:left w:val="none" w:sz="0" w:space="0" w:color="auto"/>
                        <w:bottom w:val="none" w:sz="0" w:space="0" w:color="auto"/>
                        <w:right w:val="none" w:sz="0" w:space="0" w:color="auto"/>
                      </w:divBdr>
                      <w:divsChild>
                        <w:div w:id="262343486">
                          <w:marLeft w:val="0"/>
                          <w:marRight w:val="0"/>
                          <w:marTop w:val="0"/>
                          <w:marBottom w:val="0"/>
                          <w:divBdr>
                            <w:top w:val="none" w:sz="0" w:space="0" w:color="auto"/>
                            <w:left w:val="none" w:sz="0" w:space="0" w:color="auto"/>
                            <w:bottom w:val="none" w:sz="0" w:space="0" w:color="auto"/>
                            <w:right w:val="none" w:sz="0" w:space="0" w:color="auto"/>
                          </w:divBdr>
                          <w:divsChild>
                            <w:div w:id="1200702486">
                              <w:marLeft w:val="0"/>
                              <w:marRight w:val="0"/>
                              <w:marTop w:val="0"/>
                              <w:marBottom w:val="0"/>
                              <w:divBdr>
                                <w:top w:val="none" w:sz="0" w:space="0" w:color="auto"/>
                                <w:left w:val="none" w:sz="0" w:space="0" w:color="auto"/>
                                <w:bottom w:val="none" w:sz="0" w:space="0" w:color="auto"/>
                                <w:right w:val="none" w:sz="0" w:space="0" w:color="auto"/>
                              </w:divBdr>
                              <w:divsChild>
                                <w:div w:id="766538195">
                                  <w:marLeft w:val="0"/>
                                  <w:marRight w:val="0"/>
                                  <w:marTop w:val="0"/>
                                  <w:marBottom w:val="0"/>
                                  <w:divBdr>
                                    <w:top w:val="none" w:sz="0" w:space="0" w:color="auto"/>
                                    <w:left w:val="none" w:sz="0" w:space="0" w:color="auto"/>
                                    <w:bottom w:val="none" w:sz="0" w:space="0" w:color="auto"/>
                                    <w:right w:val="none" w:sz="0" w:space="0" w:color="auto"/>
                                  </w:divBdr>
                                  <w:divsChild>
                                    <w:div w:id="429545119">
                                      <w:marLeft w:val="0"/>
                                      <w:marRight w:val="0"/>
                                      <w:marTop w:val="0"/>
                                      <w:marBottom w:val="0"/>
                                      <w:divBdr>
                                        <w:top w:val="none" w:sz="0" w:space="0" w:color="auto"/>
                                        <w:left w:val="none" w:sz="0" w:space="0" w:color="auto"/>
                                        <w:bottom w:val="none" w:sz="0" w:space="0" w:color="auto"/>
                                        <w:right w:val="none" w:sz="0" w:space="0" w:color="auto"/>
                                      </w:divBdr>
                                      <w:divsChild>
                                        <w:div w:id="4655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guidance-for-teachers/assessment-feedback" TargetMode="External"/><Relationship Id="rId18" Type="http://schemas.openxmlformats.org/officeDocument/2006/relationships/hyperlink" Target="https://schools.local-offer.org/send-toolkit/ordinarily-available-inclusive-practice/" TargetMode="External"/><Relationship Id="rId26" Type="http://schemas.openxmlformats.org/officeDocument/2006/relationships/hyperlink" Target="https://educationendowmentfoundation.org.uk/education-evidence/teaching-learning-toolkit/oral-language-interventions" TargetMode="External"/><Relationship Id="rId39" Type="http://schemas.openxmlformats.org/officeDocument/2006/relationships/hyperlink" Target="https://educationendowmentfoundation.org.uk/projects-and-evaluation/projects/fresh-start" TargetMode="External"/><Relationship Id="rId21" Type="http://schemas.openxmlformats.org/officeDocument/2006/relationships/hyperlink" Target="https://assets.publishing.service.gov.uk/government/uploads/system/uploads/attachment_data/file/1000986/Reading_framework_Teaching_the_foundations_of_literacy_-_July-2021.pdf" TargetMode="External"/><Relationship Id="rId34" Type="http://schemas.openxmlformats.org/officeDocument/2006/relationships/hyperlink" Target="https://educationendowmentfoundation.org.uk/projects-and-evaluation/projects/fresh-start" TargetMode="External"/><Relationship Id="rId42" Type="http://schemas.openxmlformats.org/officeDocument/2006/relationships/hyperlink" Target="https://educationendowmentfoundation.org.uk/guidance-for-teachers/life-skills-enrichment"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endowmentfoundation.org.uk/projects-and-evaluation/projects/dialogic-teaching" TargetMode="External"/><Relationship Id="rId29"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fdslive.oup.com/www.oup.com/oxed/Oxford-Language-Report.PDF?region=uk" TargetMode="External"/><Relationship Id="rId32" Type="http://schemas.openxmlformats.org/officeDocument/2006/relationships/hyperlink" Target="https://educationendowmentfoundation.org.uk/education-evidence/teaching-learning-toolkit/phonics" TargetMode="External"/><Relationship Id="rId37" Type="http://schemas.openxmlformats.org/officeDocument/2006/relationships/hyperlink" Target="http://fdslive.oup.com/www.oup.com/oxed/primary/maths/numicon/Case_Study_Numicon_Big_Ideas_Success_Bartons.pdf?&amp;region=uk" TargetMode="External"/><Relationship Id="rId40" Type="http://schemas.openxmlformats.org/officeDocument/2006/relationships/hyperlink" Target="https://traumainformedschools.co.uk/"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feedback" TargetMode="External"/><Relationship Id="rId23" Type="http://schemas.openxmlformats.org/officeDocument/2006/relationships/hyperlink" Target="http://fdslive.oup.com/www.oup.com/oxed/Oxford-Language-Report.PDF?region=uk" TargetMode="External"/><Relationship Id="rId28" Type="http://schemas.openxmlformats.org/officeDocument/2006/relationships/hyperlink" Target="https://educationendowmentfoundation.org.uk/education-evidence/guidance-reports/maths-ks-2-3" TargetMode="External"/><Relationship Id="rId36" Type="http://schemas.openxmlformats.org/officeDocument/2006/relationships/hyperlink" Target="https://educationendowmentfoundation.org.uk/education-evidence/teaching-learning-toolkit/small-group-tuition"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hyperlink" Target="https://www.teachneli.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2tic4wvo1iusb.cloudfront.net/documents/news/Diagnostic_Assessment_Tool.pdf" TargetMode="External"/><Relationship Id="rId22" Type="http://schemas.openxmlformats.org/officeDocument/2006/relationships/hyperlink" Target="https://educationendowmentfoundation.org.uk/education-evidence/teaching-learning-toolkit/reading-comprehension-strategies" TargetMode="External"/><Relationship Id="rId27" Type="http://schemas.openxmlformats.org/officeDocument/2006/relationships/hyperlink" Target="https://assets.publishing.service.gov.uk/government/uploads/system/uploads/attachment_data/file/1017683/Maths_guidance_KS_1_and_2.pdf" TargetMode="External"/><Relationship Id="rId30" Type="http://schemas.openxmlformats.org/officeDocument/2006/relationships/hyperlink" Target="https://educationendowmentfoundation.org.uk/education-evidence/teaching-learning-toolkit/oral-language-interventions" TargetMode="External"/><Relationship Id="rId35" Type="http://schemas.openxmlformats.org/officeDocument/2006/relationships/hyperlink" Target="https://educationendowmentfoundation.org.uk/education-evidence/teaching-learning-toolkit/reducing-class-size" TargetMode="External"/><Relationship Id="rId43" Type="http://schemas.openxmlformats.org/officeDocument/2006/relationships/hyperlink" Target="https://www.gov.uk/government/publications/school-attendance/framework-for-securing-full-attendance-actions-for-schools-and-local-authoritie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2.png@01D7EDBB.375789B0" TargetMode="External"/><Relationship Id="rId17" Type="http://schemas.openxmlformats.org/officeDocument/2006/relationships/hyperlink" Target="https://educationendowmentfoundation.org.uk/education-evidence/teaching-learning-toolkit/metacognition-and-self-regulation" TargetMode="External"/><Relationship Id="rId25" Type="http://schemas.openxmlformats.org/officeDocument/2006/relationships/hyperlink" Target="http://fdslive.oup.com/www.oup.com/oxed/primary/maths/numicon/numicon_impact/Impact_study_Numicon_mathematical_language.pdf?region=uk" TargetMode="External"/><Relationship Id="rId33" Type="http://schemas.openxmlformats.org/officeDocument/2006/relationships/hyperlink" Target="https://www.ruthmiskin.com/media/filer_public/9c/b5/9cb53f78-7520-453e-a434-2bac77df09c7/ruth_miskin_literacy_inc_-_read_write_inc_research_and_evidence_xbviibh.pdf" TargetMode="External"/><Relationship Id="rId38" Type="http://schemas.openxmlformats.org/officeDocument/2006/relationships/hyperlink" Target="https://educationendowmentfoundation.org.uk/education-evidence/teaching-learning-toolkit/small-group-tuition" TargetMode="External"/><Relationship Id="rId46" Type="http://schemas.openxmlformats.org/officeDocument/2006/relationships/image" Target="media/image3.png"/><Relationship Id="rId20" Type="http://schemas.openxmlformats.org/officeDocument/2006/relationships/hyperlink" Target="https://www.ruthmiskin.com/media/filer_public/9c/b5/9cb53f78-7520-453e-a434-2bac77df09c7/ruth_miskin_literacy_inc_-_read_write_inc_research_and_evidence_xbviibh.pdf" TargetMode="External"/><Relationship Id="rId41" Type="http://schemas.openxmlformats.org/officeDocument/2006/relationships/hyperlink" Target="https://www.gov.uk/guidance/senior-mental-health-lead-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780B76-4563-4B65-94D2-5E158A61AE1E}">
  <ds:schemaRefs>
    <ds:schemaRef ds:uri="http://schemas.openxmlformats.org/officeDocument/2006/bibliography"/>
  </ds:schemaRefs>
</ds:datastoreItem>
</file>

<file path=customXml/itemProps4.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4571</Words>
  <Characters>26058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30568</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Ali Powell</cp:lastModifiedBy>
  <cp:revision>70</cp:revision>
  <cp:lastPrinted>2023-11-27T10:51:00Z</cp:lastPrinted>
  <dcterms:created xsi:type="dcterms:W3CDTF">2023-11-27T10:25:00Z</dcterms:created>
  <dcterms:modified xsi:type="dcterms:W3CDTF">2025-01-13T12:16:00Z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